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after="80"/>
        <w:jc w:val="center"/>
      </w:pPr>
      <w:r>
        <w:drawing>
          <wp:inline xmlns:a="http://schemas.openxmlformats.org/drawingml/2006/main" xmlns:pic="http://schemas.openxmlformats.org/drawingml/2006/picture">
            <wp:extent cx="2560320" cy="1843780"/>
            <wp:docPr id="1" name="Picture 1"/>
            <wp:cNvGraphicFramePr>
              <a:graphicFrameLocks noChangeAspect="1"/>
            </wp:cNvGraphicFramePr>
            <a:graphic>
              <a:graphicData uri="http://schemas.openxmlformats.org/drawingml/2006/picture">
                <pic:pic>
                  <pic:nvPicPr>
                    <pic:cNvPr id="0" name="ResearchBridge_Africa_Logo_Stacked_Transparent_Cropped.png"/>
                    <pic:cNvPicPr/>
                  </pic:nvPicPr>
                  <pic:blipFill>
                    <a:blip r:embed="rId11"/>
                    <a:stretch>
                      <a:fillRect/>
                    </a:stretch>
                  </pic:blipFill>
                  <pic:spPr>
                    <a:xfrm>
                      <a:off x="0" y="0"/>
                      <a:ext cx="2560320" cy="1843780"/>
                    </a:xfrm>
                    <a:prstGeom prst="rect"/>
                  </pic:spPr>
                </pic:pic>
              </a:graphicData>
            </a:graphic>
          </wp:inline>
        </w:drawing>
      </w:r>
    </w:p>
    <w:p>
      <w:pPr>
        <w:pStyle w:val="CoverKicker"/>
        <w:widowControl/>
        <w:spacing w:after="240"/>
        <w:jc w:val="center"/>
      </w:pPr>
      <w:r>
        <w:rPr>
          <w:i w:val="0"/>
        </w:rPr>
        <w:t>INSTITUTIONAL PARTNERSHIP PROPOSAL</w:t>
      </w:r>
    </w:p>
    <w:p>
      <w:pPr>
        <w:pStyle w:val="CoverTitle"/>
        <w:widowControl/>
        <w:spacing w:after="120"/>
        <w:jc w:val="center"/>
      </w:pPr>
      <w:r>
        <w:rPr>
          <w:i w:val="0"/>
        </w:rPr>
        <w:t>ResearchBridge Africa</w:t>
      </w:r>
    </w:p>
    <w:p>
      <w:pPr>
        <w:pStyle w:val="CoverSubtitle"/>
        <w:widowControl/>
        <w:spacing w:after="440"/>
        <w:jc w:val="center"/>
      </w:pPr>
      <w:r>
        <w:rPr>
          <w:i w:val="0"/>
        </w:rPr>
        <w:t>A Partnership to Develop Research Capacity,</w:t>
        <w:br/>
        <w:t>Strengthen Quality and Increase Scholarly Impact</w:t>
      </w:r>
    </w:p>
    <w:tbl>
      <w:tblPr>
        <w:tblW w:type="dxa" w:w="9461"/>
        <w:jc w:val="center"/>
        <w:tblLayout w:type="fixed"/>
        <w:tblLook w:firstColumn="1" w:firstRow="1" w:lastColumn="0" w:lastRow="0" w:noHBand="0" w:noVBand="1" w:val="04A0"/>
        <w:tblInd w:type="dxa" w:w="120"/>
        <w:tblBorders>
          <w:top w:val="single" w:sz="2" w:color="EAF4F4"/>
          <w:left w:val="single" w:sz="2" w:color="EAF4F4"/>
          <w:bottom w:val="single" w:sz="2" w:color="EAF4F4"/>
          <w:right w:val="single" w:sz="2" w:color="EAF4F4"/>
          <w:insideH w:val="single" w:sz="2" w:color="EAF4F4"/>
          <w:insideV w:val="single" w:sz="2" w:color="EAF4F4"/>
        </w:tblBorders>
      </w:tblPr>
      <w:tblGrid>
        <w:gridCol w:w="9461"/>
      </w:tblGrid>
      <w:tr>
        <w:trPr>
          <w:cantSplit/>
        </w:trPr>
        <w:tc>
          <w:tcPr>
            <w:tcW w:type="dxa" w:w="9461"/>
            <w:vAlign w:val="center"/>
            <w:shd w:fill="EAF4F4"/>
            <w:tcMar>
              <w:top w:w="150" w:type="dxa"/>
              <w:start w:w="190" w:type="dxa"/>
              <w:bottom w:w="150" w:type="dxa"/>
              <w:end w:w="190" w:type="dxa"/>
            </w:tcMar>
          </w:tcPr>
          <w:p>
            <w:pPr>
              <w:spacing w:after="0" w:line="276" w:lineRule="auto"/>
              <w:jc w:val="left"/>
            </w:pPr>
            <w:r>
              <w:rPr>
                <w:rFonts w:ascii="Calibri" w:hAnsi="Calibri"/>
                <w:b/>
                <w:color w:val="17365D"/>
                <w:sz w:val="21"/>
              </w:rPr>
              <w:t xml:space="preserve">Partnership proposition: </w:t>
            </w:r>
            <w:r>
              <w:rPr>
                <w:rFonts w:ascii="Calibri" w:hAnsi="Calibri"/>
                <w:color w:val="202124"/>
                <w:sz w:val="21"/>
              </w:rPr>
              <w:t>Join a controlled institutional partnership that connects students, lecturers, reviewers and administrators through one guided journey—from topic formulation and learning to ethical support, peer review, publication and institutional visibility.</w:t>
            </w:r>
          </w:p>
        </w:tc>
      </w:tr>
    </w:tbl>
    <w:p>
      <w:pPr>
        <w:widowControl/>
        <w:spacing w:after="0"/>
      </w:pPr>
    </w:p>
    <w:p>
      <w:pPr>
        <w:widowControl/>
        <w:spacing w:after="320"/>
      </w:pPr>
    </w:p>
    <w:tbl>
      <w:tblPr>
        <w:tblW w:type="dxa" w:w="9461"/>
        <w:jc w:val="center"/>
        <w:tblLayout w:type="fixed"/>
        <w:tblLook w:firstColumn="1" w:firstRow="1" w:lastColumn="0" w:lastRow="0" w:noHBand="0" w:noVBand="1" w:val="04A0"/>
        <w:tblBorders>
          <w:top w:val="single" w:sz="5" w:color="D6DEE5"/>
          <w:left w:val="single" w:sz="5" w:color="D6DEE5"/>
          <w:bottom w:val="single" w:sz="5" w:color="D6DEE5"/>
          <w:right w:val="single" w:sz="5" w:color="D6DEE5"/>
          <w:insideH w:val="single" w:sz="5" w:color="D6DEE5"/>
          <w:insideV w:val="single" w:sz="5" w:color="D6DEE5"/>
        </w:tblBorders>
        <w:tblInd w:type="dxa" w:w="120"/>
      </w:tblPr>
      <w:tblGrid>
        <w:gridCol w:w="4730"/>
        <w:gridCol w:w="4731"/>
      </w:tblGrid>
      <w:tr>
        <w:trPr>
          <w:tblHeader w:val="true"/>
          <w:cantSplit/>
        </w:trPr>
        <w:tc>
          <w:tcPr>
            <w:tcW w:type="dxa" w:w="4730"/>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8"/>
              </w:rPr>
              <w:t>PROPOSAL DETAILS</w:t>
            </w:r>
          </w:p>
        </w:tc>
        <w:tc>
          <w:tcPr>
            <w:tcW w:type="dxa" w:w="4731"/>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8"/>
              </w:rPr>
              <w:t>PARTNERSHIP DETAILS</w:t>
            </w:r>
          </w:p>
        </w:tc>
      </w:tr>
      <w:tr>
        <w:trPr>
          <w:cantSplit/>
        </w:trPr>
        <w:tc>
          <w:tcPr>
            <w:tcW w:type="dxa" w:w="4730"/>
            <w:tcMar>
              <w:top w:w="90" w:type="dxa"/>
              <w:start w:w="120" w:type="dxa"/>
              <w:bottom w:w="90" w:type="dxa"/>
              <w:end w:w="120" w:type="dxa"/>
            </w:tcMar>
            <w:vAlign w:val="center"/>
          </w:tcPr>
          <w:p>
            <w:pPr>
              <w:spacing w:after="0" w:line="252" w:lineRule="auto"/>
              <w:jc w:val="left"/>
            </w:pPr>
            <w:r>
              <w:rPr>
                <w:rFonts w:ascii="Calibri" w:hAnsi="Calibri"/>
                <w:color w:val="202124"/>
                <w:sz w:val="18"/>
              </w:rPr>
              <w:t>Prepared by: ResearchBridge Africa</w:t>
            </w:r>
          </w:p>
        </w:tc>
        <w:tc>
          <w:tcPr>
            <w:tcW w:type="dxa" w:w="4731"/>
            <w:tcMar>
              <w:top w:w="90" w:type="dxa"/>
              <w:start w:w="120" w:type="dxa"/>
              <w:bottom w:w="90" w:type="dxa"/>
              <w:end w:w="120" w:type="dxa"/>
            </w:tcMar>
            <w:vAlign w:val="center"/>
          </w:tcPr>
          <w:p>
            <w:pPr>
              <w:spacing w:after="0" w:line="252" w:lineRule="auto"/>
              <w:jc w:val="left"/>
            </w:pPr>
            <w:r>
              <w:rPr>
                <w:rFonts w:ascii="Calibri" w:hAnsi="Calibri"/>
                <w:color w:val="202124"/>
                <w:sz w:val="18"/>
              </w:rPr>
              <w:t>Proposed partner: [Name of Institution]</w:t>
            </w:r>
          </w:p>
        </w:tc>
      </w:tr>
      <w:tr>
        <w:trPr>
          <w:cantSplit/>
        </w:trPr>
        <w:tc>
          <w:tcPr>
            <w:tcW w:type="dxa" w:w="473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Lead: Alexander Amoah, PhD</w:t>
            </w:r>
          </w:p>
        </w:tc>
        <w:tc>
          <w:tcPr>
            <w:tcW w:type="dxa" w:w="473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Proposed pilot period: 3–6 months</w:t>
            </w:r>
          </w:p>
        </w:tc>
      </w:tr>
      <w:tr>
        <w:trPr>
          <w:cantSplit/>
        </w:trPr>
        <w:tc>
          <w:tcPr>
            <w:tcW w:type="dxa" w:w="4730"/>
            <w:tcMar>
              <w:top w:w="90" w:type="dxa"/>
              <w:start w:w="120" w:type="dxa"/>
              <w:bottom w:w="90" w:type="dxa"/>
              <w:end w:w="120" w:type="dxa"/>
            </w:tcMar>
            <w:vAlign w:val="center"/>
          </w:tcPr>
          <w:p>
            <w:pPr>
              <w:spacing w:after="0" w:line="252" w:lineRule="auto"/>
              <w:jc w:val="left"/>
            </w:pPr>
            <w:r>
              <w:rPr>
                <w:rFonts w:ascii="Calibri" w:hAnsi="Calibri"/>
                <w:color w:val="202124"/>
                <w:sz w:val="18"/>
              </w:rPr>
              <w:t>Location: Ghana</w:t>
            </w:r>
          </w:p>
        </w:tc>
        <w:tc>
          <w:tcPr>
            <w:tcW w:type="dxa" w:w="4731"/>
            <w:tcMar>
              <w:top w:w="90" w:type="dxa"/>
              <w:start w:w="120" w:type="dxa"/>
              <w:bottom w:w="90" w:type="dxa"/>
              <w:end w:w="120" w:type="dxa"/>
            </w:tcMar>
            <w:vAlign w:val="center"/>
          </w:tcPr>
          <w:p>
            <w:pPr>
              <w:spacing w:after="0" w:line="252" w:lineRule="auto"/>
              <w:jc w:val="left"/>
            </w:pPr>
            <w:r>
              <w:rPr>
                <w:rFonts w:ascii="Calibri" w:hAnsi="Calibri"/>
                <w:color w:val="202124"/>
                <w:sz w:val="18"/>
              </w:rPr>
              <w:t>Institutional focal person: [To be nominated]</w:t>
            </w:r>
          </w:p>
        </w:tc>
      </w:tr>
      <w:tr>
        <w:trPr>
          <w:cantSplit/>
        </w:trPr>
        <w:tc>
          <w:tcPr>
            <w:tcW w:type="dxa" w:w="473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Website: researchbridge-africa.xanderamoah.chatgpt.site</w:t>
            </w:r>
          </w:p>
        </w:tc>
        <w:tc>
          <w:tcPr>
            <w:tcW w:type="dxa" w:w="473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Date submitted: [Insert date]</w:t>
            </w:r>
          </w:p>
        </w:tc>
      </w:tr>
    </w:tbl>
    <w:p>
      <w:pPr>
        <w:widowControl/>
        <w:spacing w:after="0"/>
      </w:pPr>
    </w:p>
    <w:p>
      <w:pPr>
        <w:pStyle w:val="CoverMeta"/>
        <w:widowControl/>
        <w:spacing w:before="200" w:after="40"/>
        <w:jc w:val="center"/>
      </w:pPr>
      <w:r>
        <w:rPr>
          <w:i/>
        </w:rPr>
        <w:t>From Research Idea to Published Impact</w:t>
      </w:r>
    </w:p>
    <w:p>
      <w:pPr>
        <w:pStyle w:val="CoverMeta"/>
        <w:widowControl/>
        <w:jc w:val="center"/>
      </w:pPr>
      <w:r>
        <w:rPr>
          <w:i w:val="0"/>
        </w:rPr>
        <w:t>Institutional engagement edition • July 2026</w:t>
      </w:r>
    </w:p>
    <w:p>
      <w:pPr>
        <w:widowControl/>
      </w:pPr>
      <w:r>
        <w:br w:type="page"/>
      </w:r>
    </w:p>
    <w:p>
      <w:pPr>
        <w:pStyle w:val="Heading1"/>
        <w:widowControl/>
      </w:pPr>
      <w:r>
        <w:t>Executive Proposal</w:t>
      </w:r>
    </w:p>
    <w:p>
      <w:pPr>
        <w:widowControl/>
      </w:pPr>
      <w:r>
        <w:rPr>
          <w:i w:val="0"/>
        </w:rPr>
        <w:t>ResearchBridge Africa respectfully invites [Name of Institution] to enter a structured institutional partnership aimed at strengthening research capacity, improving the quality of student and emerging-scholar research, expanding access to mentorship and peer review, and increasing the visibility and practical use of approved research outputs.</w:t>
      </w:r>
    </w:p>
    <w:p>
      <w:pPr>
        <w:widowControl/>
      </w:pPr>
      <w:r>
        <w:rPr>
          <w:i w:val="0"/>
        </w:rPr>
        <w:t>The platform responds to a familiar gap in higher education: research-methods teaching, topic development, supervision, technical support, peer review, publication and institutional reporting are often handled through separate systems. Students may understand research in theory but struggle to convert ideas into feasible topics, receive timely feedback, navigate revisions or preserve completed work. Institutions may also lack a consolidated, privacy-conscious view of affiliated research activity and approved publications.</w:t>
      </w:r>
    </w:p>
    <w:p>
      <w:pPr>
        <w:widowControl/>
      </w:pPr>
      <w:r>
        <w:rPr>
          <w:i w:val="0"/>
        </w:rPr>
        <w:t>ResearchBridge Africa brings these stages into one secure, guided ecosystem. It supports topic formulation and automated improvement; research learning; lecturer consultation; ethical methodology, editing and data-analysis support; manuscript submission; editorial screening; reviewer assignment; revision and decision; repository publication; institutional reporting; and controlled dissemination.</w:t>
      </w:r>
    </w:p>
    <w:tbl>
      <w:tblPr>
        <w:tblW w:type="dxa" w:w="9461"/>
        <w:jc w:val="center"/>
        <w:tblLayout w:type="fixed"/>
        <w:tblLook w:firstColumn="1" w:firstRow="1" w:lastColumn="0" w:lastRow="0" w:noHBand="0" w:noVBand="1" w:val="04A0"/>
        <w:tblInd w:type="dxa" w:w="120"/>
        <w:tblBorders>
          <w:top w:val="single" w:sz="2" w:color="EAF2F8"/>
          <w:left w:val="single" w:sz="2" w:color="EAF2F8"/>
          <w:bottom w:val="single" w:sz="2" w:color="EAF2F8"/>
          <w:right w:val="single" w:sz="2" w:color="EAF2F8"/>
          <w:insideH w:val="single" w:sz="2" w:color="EAF2F8"/>
          <w:insideV w:val="single" w:sz="2" w:color="EAF2F8"/>
        </w:tblBorders>
      </w:tblPr>
      <w:tblGrid>
        <w:gridCol w:w="9461"/>
      </w:tblGrid>
      <w:tr>
        <w:trPr>
          <w:cantSplit/>
        </w:trPr>
        <w:tc>
          <w:tcPr>
            <w:tcW w:type="dxa" w:w="9461"/>
            <w:vAlign w:val="center"/>
            <w:shd w:fill="EAF2F8"/>
            <w:tcMar>
              <w:top w:w="150" w:type="dxa"/>
              <w:start w:w="190" w:type="dxa"/>
              <w:bottom w:w="150" w:type="dxa"/>
              <w:end w:w="190" w:type="dxa"/>
            </w:tcMar>
          </w:tcPr>
          <w:p>
            <w:pPr>
              <w:spacing w:after="0" w:line="276" w:lineRule="auto"/>
              <w:jc w:val="left"/>
            </w:pPr>
            <w:r>
              <w:rPr>
                <w:rFonts w:ascii="Calibri" w:hAnsi="Calibri"/>
                <w:b/>
                <w:color w:val="17365D"/>
                <w:sz w:val="21"/>
              </w:rPr>
              <w:t xml:space="preserve">The partnership request: </w:t>
            </w:r>
            <w:r>
              <w:rPr>
                <w:rFonts w:ascii="Calibri" w:hAnsi="Calibri"/>
                <w:color w:val="202124"/>
                <w:sz w:val="21"/>
              </w:rPr>
              <w:t>Nominate an institutional focal person, identify a pilot cohort, invite qualified lecturers and reviewers, and collaborate with ResearchBridge Africa to test and evaluate the complete idea-to-impact pathway.</w:t>
            </w:r>
          </w:p>
        </w:tc>
      </w:tr>
    </w:tbl>
    <w:p>
      <w:pPr>
        <w:widowControl/>
        <w:spacing w:after="0"/>
      </w:pPr>
    </w:p>
    <w:p>
      <w:pPr>
        <w:pStyle w:val="Heading2"/>
        <w:widowControl/>
      </w:pPr>
      <w:r>
        <w:t>Proposal at a Glance</w:t>
      </w:r>
    </w:p>
    <w:tbl>
      <w:tblPr>
        <w:tblW w:type="dxa" w:w="9461"/>
        <w:jc w:val="center"/>
        <w:tblLayout w:type="fixed"/>
        <w:tblLook w:firstColumn="1" w:firstRow="1" w:lastColumn="0" w:lastRow="0" w:noHBand="0" w:noVBand="1" w:val="04A0"/>
        <w:tblBorders>
          <w:top w:val="single" w:sz="5" w:color="D6DEE5"/>
          <w:left w:val="single" w:sz="5" w:color="D6DEE5"/>
          <w:bottom w:val="single" w:sz="5" w:color="D6DEE5"/>
          <w:right w:val="single" w:sz="5" w:color="D6DEE5"/>
          <w:insideH w:val="single" w:sz="5" w:color="D6DEE5"/>
          <w:insideV w:val="single" w:sz="5" w:color="D6DEE5"/>
        </w:tblBorders>
        <w:tblInd w:type="dxa" w:w="120"/>
      </w:tblPr>
      <w:tblGrid>
        <w:gridCol w:w="2100"/>
        <w:gridCol w:w="7361"/>
      </w:tblGrid>
      <w:tr>
        <w:trPr>
          <w:tblHeader w:val="true"/>
          <w:cantSplit/>
        </w:trPr>
        <w:tc>
          <w:tcPr>
            <w:tcW w:type="dxa" w:w="2100"/>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8"/>
              </w:rPr>
              <w:t>Element</w:t>
            </w:r>
          </w:p>
        </w:tc>
        <w:tc>
          <w:tcPr>
            <w:tcW w:type="dxa" w:w="7361"/>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8"/>
              </w:rPr>
              <w:t>Proposed Arrangement</w:t>
            </w:r>
          </w:p>
        </w:tc>
      </w:tr>
      <w:tr>
        <w:trPr>
          <w:cantSplit/>
        </w:trPr>
        <w:tc>
          <w:tcPr>
            <w:tcW w:type="dxa" w:w="2100"/>
            <w:tcMar>
              <w:top w:w="90" w:type="dxa"/>
              <w:start w:w="120" w:type="dxa"/>
              <w:bottom w:w="90" w:type="dxa"/>
              <w:end w:w="120" w:type="dxa"/>
            </w:tcMar>
            <w:vAlign w:val="center"/>
          </w:tcPr>
          <w:p>
            <w:pPr>
              <w:spacing w:after="0" w:line="252" w:lineRule="auto"/>
              <w:jc w:val="left"/>
            </w:pPr>
            <w:r>
              <w:rPr>
                <w:rFonts w:ascii="Calibri" w:hAnsi="Calibri"/>
                <w:color w:val="202124"/>
                <w:sz w:val="18"/>
              </w:rPr>
              <w:t>Purpose</w:t>
            </w:r>
          </w:p>
        </w:tc>
        <w:tc>
          <w:tcPr>
            <w:tcW w:type="dxa" w:w="7361"/>
            <w:tcMar>
              <w:top w:w="90" w:type="dxa"/>
              <w:start w:w="120" w:type="dxa"/>
              <w:bottom w:w="90" w:type="dxa"/>
              <w:end w:w="120" w:type="dxa"/>
            </w:tcMar>
            <w:vAlign w:val="center"/>
          </w:tcPr>
          <w:p>
            <w:pPr>
              <w:spacing w:after="0" w:line="252" w:lineRule="auto"/>
              <w:jc w:val="left"/>
            </w:pPr>
            <w:r>
              <w:rPr>
                <w:rFonts w:ascii="Calibri" w:hAnsi="Calibri"/>
                <w:color w:val="202124"/>
                <w:sz w:val="18"/>
              </w:rPr>
              <w:t>Develop research capacity, improve research quality and increase institutional visibility.</w:t>
            </w:r>
          </w:p>
        </w:tc>
      </w:tr>
      <w:tr>
        <w:trPr>
          <w:cantSplit/>
        </w:trPr>
        <w:tc>
          <w:tcPr>
            <w:tcW w:type="dxa" w:w="21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Pilot</w:t>
            </w:r>
          </w:p>
        </w:tc>
        <w:tc>
          <w:tcPr>
            <w:tcW w:type="dxa" w:w="73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A controlled 3–6 month implementation with an agreed cohort and defined success indicators.</w:t>
            </w:r>
          </w:p>
        </w:tc>
      </w:tr>
      <w:tr>
        <w:trPr>
          <w:cantSplit/>
        </w:trPr>
        <w:tc>
          <w:tcPr>
            <w:tcW w:type="dxa" w:w="2100"/>
            <w:tcMar>
              <w:top w:w="90" w:type="dxa"/>
              <w:start w:w="120" w:type="dxa"/>
              <w:bottom w:w="90" w:type="dxa"/>
              <w:end w:w="120" w:type="dxa"/>
            </w:tcMar>
            <w:vAlign w:val="center"/>
          </w:tcPr>
          <w:p>
            <w:pPr>
              <w:spacing w:after="0" w:line="252" w:lineRule="auto"/>
              <w:jc w:val="left"/>
            </w:pPr>
            <w:r>
              <w:rPr>
                <w:rFonts w:ascii="Calibri" w:hAnsi="Calibri"/>
                <w:color w:val="202124"/>
                <w:sz w:val="18"/>
              </w:rPr>
              <w:t>Participants</w:t>
            </w:r>
          </w:p>
        </w:tc>
        <w:tc>
          <w:tcPr>
            <w:tcW w:type="dxa" w:w="7361"/>
            <w:tcMar>
              <w:top w:w="90" w:type="dxa"/>
              <w:start w:w="120" w:type="dxa"/>
              <w:bottom w:w="90" w:type="dxa"/>
              <w:end w:w="120" w:type="dxa"/>
            </w:tcMar>
            <w:vAlign w:val="center"/>
          </w:tcPr>
          <w:p>
            <w:pPr>
              <w:spacing w:after="0" w:line="252" w:lineRule="auto"/>
              <w:jc w:val="left"/>
            </w:pPr>
            <w:r>
              <w:rPr>
                <w:rFonts w:ascii="Calibri" w:hAnsi="Calibri"/>
                <w:color w:val="202124"/>
                <w:sz w:val="18"/>
              </w:rPr>
              <w:t>Students/emerging researchers, lecturers/mentors, peer reviewers and one institutional administrator.</w:t>
            </w:r>
          </w:p>
        </w:tc>
      </w:tr>
      <w:tr>
        <w:trPr>
          <w:cantSplit/>
        </w:trPr>
        <w:tc>
          <w:tcPr>
            <w:tcW w:type="dxa" w:w="21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Institutional access</w:t>
            </w:r>
          </w:p>
        </w:tc>
        <w:tc>
          <w:tcPr>
            <w:tcW w:type="dxa" w:w="73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A protected dashboard limited to the partner institution’s verified affiliations, aggregate activity and approved outputs.</w:t>
            </w:r>
          </w:p>
        </w:tc>
      </w:tr>
      <w:tr>
        <w:trPr>
          <w:cantSplit/>
        </w:trPr>
        <w:tc>
          <w:tcPr>
            <w:tcW w:type="dxa" w:w="2100"/>
            <w:tcMar>
              <w:top w:w="90" w:type="dxa"/>
              <w:start w:w="120" w:type="dxa"/>
              <w:bottom w:w="90" w:type="dxa"/>
              <w:end w:w="120" w:type="dxa"/>
            </w:tcMar>
            <w:vAlign w:val="center"/>
          </w:tcPr>
          <w:p>
            <w:pPr>
              <w:spacing w:after="0" w:line="252" w:lineRule="auto"/>
              <w:jc w:val="left"/>
            </w:pPr>
            <w:r>
              <w:rPr>
                <w:rFonts w:ascii="Calibri" w:hAnsi="Calibri"/>
                <w:color w:val="202124"/>
                <w:sz w:val="18"/>
              </w:rPr>
              <w:t>Research pathway</w:t>
            </w:r>
          </w:p>
        </w:tc>
        <w:tc>
          <w:tcPr>
            <w:tcW w:type="dxa" w:w="7361"/>
            <w:tcMar>
              <w:top w:w="90" w:type="dxa"/>
              <w:start w:w="120" w:type="dxa"/>
              <w:bottom w:w="90" w:type="dxa"/>
              <w:end w:w="120" w:type="dxa"/>
            </w:tcMar>
            <w:vAlign w:val="center"/>
          </w:tcPr>
          <w:p>
            <w:pPr>
              <w:spacing w:after="0" w:line="252" w:lineRule="auto"/>
              <w:jc w:val="left"/>
            </w:pPr>
            <w:r>
              <w:rPr>
                <w:rFonts w:ascii="Calibri" w:hAnsi="Calibri"/>
                <w:color w:val="202124"/>
                <w:sz w:val="18"/>
              </w:rPr>
              <w:t>Topic → learning/consultation → research support → submission → review → revision → decision → repository/impact.</w:t>
            </w:r>
          </w:p>
        </w:tc>
      </w:tr>
      <w:tr>
        <w:trPr>
          <w:cantSplit/>
        </w:trPr>
        <w:tc>
          <w:tcPr>
            <w:tcW w:type="dxa" w:w="21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Safeguards</w:t>
            </w:r>
          </w:p>
        </w:tc>
        <w:tc>
          <w:tcPr>
            <w:tcW w:type="dxa" w:w="73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Role-based access, confidentiality, academic-integrity rules, conflict-of-interest controls and author-retained copyright.</w:t>
            </w:r>
          </w:p>
        </w:tc>
      </w:tr>
      <w:tr>
        <w:trPr>
          <w:cantSplit/>
        </w:trPr>
        <w:tc>
          <w:tcPr>
            <w:tcW w:type="dxa" w:w="2100"/>
            <w:tcMar>
              <w:top w:w="90" w:type="dxa"/>
              <w:start w:w="120" w:type="dxa"/>
              <w:bottom w:w="90" w:type="dxa"/>
              <w:end w:w="120" w:type="dxa"/>
            </w:tcMar>
            <w:vAlign w:val="center"/>
          </w:tcPr>
          <w:p>
            <w:pPr>
              <w:spacing w:after="0" w:line="252" w:lineRule="auto"/>
              <w:jc w:val="left"/>
            </w:pPr>
            <w:r>
              <w:rPr>
                <w:rFonts w:ascii="Calibri" w:hAnsi="Calibri"/>
                <w:color w:val="202124"/>
                <w:sz w:val="18"/>
              </w:rPr>
              <w:t>Financial status</w:t>
            </w:r>
          </w:p>
        </w:tc>
        <w:tc>
          <w:tcPr>
            <w:tcW w:type="dxa" w:w="7361"/>
            <w:tcMar>
              <w:top w:w="90" w:type="dxa"/>
              <w:start w:w="120" w:type="dxa"/>
              <w:bottom w:w="90" w:type="dxa"/>
              <w:end w:w="120" w:type="dxa"/>
            </w:tcMar>
            <w:vAlign w:val="center"/>
          </w:tcPr>
          <w:p>
            <w:pPr>
              <w:spacing w:after="0" w:line="252" w:lineRule="auto"/>
              <w:jc w:val="left"/>
            </w:pPr>
            <w:r>
              <w:rPr>
                <w:rFonts w:ascii="Calibri" w:hAnsi="Calibri"/>
                <w:color w:val="202124"/>
                <w:sz w:val="18"/>
              </w:rPr>
              <w:t>No financial obligation arises from this proposal; any fees or resource commitments require a separately agreed schedule or MOU.</w:t>
            </w:r>
          </w:p>
        </w:tc>
      </w:tr>
      <w:tr>
        <w:trPr>
          <w:cantSplit/>
        </w:trPr>
        <w:tc>
          <w:tcPr>
            <w:tcW w:type="dxa" w:w="21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Decision sought</w:t>
            </w:r>
          </w:p>
        </w:tc>
        <w:tc>
          <w:tcPr>
            <w:tcW w:type="dxa" w:w="73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Approval in principle to hold a partnership meeting and design the pilot.</w:t>
            </w:r>
          </w:p>
        </w:tc>
      </w:tr>
    </w:tbl>
    <w:p>
      <w:pPr>
        <w:widowControl/>
        <w:spacing w:after="0"/>
      </w:pPr>
    </w:p>
    <w:p>
      <w:pPr>
        <w:pStyle w:val="Heading1"/>
        <w:widowControl/>
      </w:pPr>
      <w:r>
        <w:t>1. Institutional Context and Need</w:t>
      </w:r>
    </w:p>
    <w:p>
      <w:pPr>
        <w:widowControl/>
      </w:pPr>
      <w:r>
        <w:rPr>
          <w:i w:val="0"/>
        </w:rPr>
        <w:t>Research is central to teaching, innovation, policy engagement and national development. Yet producing a competent researcher requires more than completing a research-methods course or a final-year project. Researchers need repeated practice, accessible guidance, credible feedback, ethical technical support, exposure to review standards and opportunities to disseminate useful findings.</w:t>
      </w:r>
    </w:p>
    <w:p>
      <w:pPr>
        <w:widowControl/>
      </w:pPr>
      <w:r>
        <w:rPr>
          <w:i w:val="0"/>
        </w:rPr>
        <w:t>ResearchBridge Africa addresses six connected institutional challenges:</w:t>
      </w:r>
    </w:p>
    <w:p>
      <w:pPr>
        <w:pStyle w:val="ListBullet"/>
        <w:widowControl/>
        <w:spacing w:after="80" w:line="290" w:lineRule="auto"/>
        <w:ind w:left="540" w:hanging="279"/>
      </w:pPr>
      <w:r>
        <w:t>Broad interests are not always translated into clear, feasible and researchable topics.</w:t>
      </w:r>
    </w:p>
    <w:p>
      <w:pPr>
        <w:pStyle w:val="ListBullet"/>
        <w:widowControl/>
        <w:spacing w:after="80" w:line="290" w:lineRule="auto"/>
        <w:ind w:left="540" w:hanging="279"/>
      </w:pPr>
      <w:r>
        <w:t>Lecturers and supervisors may carry workloads that limit the speed and depth of formative feedback.</w:t>
      </w:r>
    </w:p>
    <w:p>
      <w:pPr>
        <w:pStyle w:val="ListBullet"/>
        <w:widowControl/>
        <w:spacing w:after="80" w:line="290" w:lineRule="auto"/>
        <w:ind w:left="540" w:hanging="279"/>
      </w:pPr>
      <w:r>
        <w:t>Students may obtain editing, methodology or data-analysis support through informal and untraceable channels.</w:t>
      </w:r>
    </w:p>
    <w:p>
      <w:pPr>
        <w:pStyle w:val="ListBullet"/>
        <w:widowControl/>
        <w:spacing w:after="80" w:line="290" w:lineRule="auto"/>
        <w:ind w:left="540" w:hanging="279"/>
      </w:pPr>
      <w:r>
        <w:t>Emerging authors often meet formal editorial and peer-review systems without prior preparation.</w:t>
      </w:r>
    </w:p>
    <w:p>
      <w:pPr>
        <w:pStyle w:val="ListBullet"/>
        <w:widowControl/>
        <w:spacing w:after="80" w:line="290" w:lineRule="auto"/>
        <w:ind w:left="540" w:hanging="279"/>
      </w:pPr>
      <w:r>
        <w:t>Undergraduate, postgraduate and locally relevant research may remain inaccessible after assessment.</w:t>
      </w:r>
    </w:p>
    <w:p>
      <w:pPr>
        <w:pStyle w:val="ListBullet"/>
        <w:widowControl/>
        <w:spacing w:after="80" w:line="290" w:lineRule="auto"/>
        <w:ind w:left="540" w:hanging="279"/>
      </w:pPr>
      <w:r>
        <w:t>Institutional leaders may lack consolidated, appropriately limited information on affiliated research development and approved outputs.</w:t>
      </w:r>
    </w:p>
    <w:p>
      <w:pPr>
        <w:widowControl/>
      </w:pPr>
      <w:r>
        <w:rPr>
          <w:i w:val="0"/>
        </w:rPr>
        <w:t>The proposed partnership does not displace the institution’s academic authority, supervision structures, ethics requirements or intellectual-property policies. It provides an enabling digital layer through which approved institutional practices can be supported, observed and improved.</w:t>
      </w:r>
    </w:p>
    <w:p>
      <w:pPr>
        <w:pStyle w:val="Heading1"/>
        <w:widowControl/>
      </w:pPr>
      <w:r>
        <w:t>2. About ResearchBridge Africa</w:t>
      </w:r>
    </w:p>
    <w:p>
      <w:pPr>
        <w:widowControl/>
      </w:pPr>
      <w:r>
        <w:rPr>
          <w:i w:val="0"/>
        </w:rPr>
        <w:t>ResearchBridge Africa is an integrated research-development, mentorship, peer-review, publication and institutional-management platform designed particularly for African students, emerging scholars, lecturers, reviewers and higher-education institutions.</w:t>
      </w:r>
    </w:p>
    <w:tbl>
      <w:tblPr>
        <w:tblW w:type="dxa" w:w="9461"/>
        <w:jc w:val="center"/>
        <w:tblLayout w:type="fixed"/>
        <w:tblLook w:firstColumn="1" w:firstRow="1" w:lastColumn="0" w:lastRow="0" w:noHBand="0" w:noVBand="1" w:val="04A0"/>
        <w:tblInd w:type="dxa" w:w="120"/>
        <w:tblBorders>
          <w:top w:val="single" w:sz="2" w:color="EAF4F4"/>
          <w:left w:val="single" w:sz="2" w:color="EAF4F4"/>
          <w:bottom w:val="single" w:sz="2" w:color="EAF4F4"/>
          <w:right w:val="single" w:sz="2" w:color="EAF4F4"/>
          <w:insideH w:val="single" w:sz="2" w:color="EAF4F4"/>
          <w:insideV w:val="single" w:sz="2" w:color="EAF4F4"/>
        </w:tblBorders>
      </w:tblPr>
      <w:tblGrid>
        <w:gridCol w:w="9461"/>
      </w:tblGrid>
      <w:tr>
        <w:trPr>
          <w:cantSplit/>
        </w:trPr>
        <w:tc>
          <w:tcPr>
            <w:tcW w:type="dxa" w:w="9461"/>
            <w:vAlign w:val="center"/>
            <w:shd w:fill="EAF4F4"/>
            <w:tcMar>
              <w:top w:w="150" w:type="dxa"/>
              <w:start w:w="190" w:type="dxa"/>
              <w:bottom w:w="150" w:type="dxa"/>
              <w:end w:w="190" w:type="dxa"/>
            </w:tcMar>
          </w:tcPr>
          <w:p>
            <w:pPr>
              <w:spacing w:after="0" w:line="276" w:lineRule="auto"/>
              <w:jc w:val="left"/>
            </w:pPr>
            <w:r>
              <w:rPr>
                <w:rFonts w:ascii="Calibri" w:hAnsi="Calibri"/>
                <w:b/>
                <w:color w:val="17365D"/>
                <w:sz w:val="21"/>
              </w:rPr>
              <w:t xml:space="preserve">Positioning statement: </w:t>
            </w:r>
            <w:r>
              <w:rPr>
                <w:rFonts w:ascii="Calibri" w:hAnsi="Calibri"/>
                <w:color w:val="202124"/>
                <w:sz w:val="21"/>
              </w:rPr>
              <w:t>ResearchGate and Academia.edu primarily help researchers share and discover completed work, while journals usually assess completed manuscripts. ResearchBridge Africa begins earlier and supports the researcher and the research product from an undeveloped idea to credible publication and wider impact.</w:t>
            </w:r>
          </w:p>
        </w:tc>
      </w:tr>
    </w:tbl>
    <w:p>
      <w:pPr>
        <w:widowControl/>
        <w:spacing w:after="0"/>
      </w:pPr>
    </w:p>
    <w:p>
      <w:pPr>
        <w:pStyle w:val="Heading2"/>
        <w:widowControl/>
      </w:pPr>
      <w:r>
        <w:t>2.1 Vision</w:t>
      </w:r>
    </w:p>
    <w:p>
      <w:pPr>
        <w:widowControl/>
      </w:pPr>
      <w:r>
        <w:rPr>
          <w:i w:val="0"/>
        </w:rPr>
        <w:t>An Africa in which every capable student and emerging scholar can access the guidance, ethical support, review and visibility required to transform a meaningful research idea into credible knowledge and public value.</w:t>
      </w:r>
    </w:p>
    <w:p>
      <w:pPr>
        <w:pStyle w:val="Heading2"/>
        <w:widowControl/>
      </w:pPr>
      <w:r>
        <w:t>2.2 Mission</w:t>
      </w:r>
    </w:p>
    <w:p>
      <w:pPr>
        <w:widowControl/>
      </w:pPr>
      <w:r>
        <w:rPr>
          <w:i w:val="0"/>
        </w:rPr>
        <w:t>To connect research learning, topic development, mentorship, ethical technical assistance, developmental peer review, publication, institutional oversight and dissemination through an accessible and trustworthy digital ecosystem.</w:t>
      </w:r>
    </w:p>
    <w:p>
      <w:pPr>
        <w:pStyle w:val="Heading2"/>
        <w:widowControl/>
      </w:pPr>
      <w:r>
        <w:t>2.3 Guiding Principles</w:t>
      </w:r>
    </w:p>
    <w:p>
      <w:pPr>
        <w:pStyle w:val="ListBullet"/>
        <w:widowControl/>
        <w:spacing w:after="80" w:line="290" w:lineRule="auto"/>
        <w:ind w:left="540" w:hanging="279"/>
      </w:pPr>
      <w:r>
        <w:t>Academic integrity and genuine authorship</w:t>
      </w:r>
    </w:p>
    <w:p>
      <w:pPr>
        <w:pStyle w:val="ListBullet"/>
        <w:widowControl/>
        <w:spacing w:after="80" w:line="290" w:lineRule="auto"/>
        <w:ind w:left="540" w:hanging="279"/>
      </w:pPr>
      <w:r>
        <w:t>Developmental rigour and constructive feedback</w:t>
      </w:r>
    </w:p>
    <w:p>
      <w:pPr>
        <w:pStyle w:val="ListBullet"/>
        <w:widowControl/>
        <w:spacing w:after="80" w:line="290" w:lineRule="auto"/>
        <w:ind w:left="540" w:hanging="279"/>
      </w:pPr>
      <w:r>
        <w:t>Institutional respect and collaborative governance</w:t>
      </w:r>
    </w:p>
    <w:p>
      <w:pPr>
        <w:pStyle w:val="ListBullet"/>
        <w:widowControl/>
        <w:spacing w:after="80" w:line="290" w:lineRule="auto"/>
        <w:ind w:left="540" w:hanging="279"/>
      </w:pPr>
      <w:r>
        <w:t>Privacy, confidentiality and proportionate access</w:t>
      </w:r>
    </w:p>
    <w:p>
      <w:pPr>
        <w:pStyle w:val="ListBullet"/>
        <w:widowControl/>
        <w:spacing w:after="80" w:line="290" w:lineRule="auto"/>
        <w:ind w:left="540" w:hanging="279"/>
      </w:pPr>
      <w:r>
        <w:t>African relevance with global scholarly standards</w:t>
      </w:r>
    </w:p>
    <w:p>
      <w:pPr>
        <w:pStyle w:val="ListBullet"/>
        <w:widowControl/>
        <w:spacing w:after="80" w:line="290" w:lineRule="auto"/>
        <w:ind w:left="540" w:hanging="279"/>
      </w:pPr>
      <w:r>
        <w:t>Accessibility, inclusion and continuous improvement</w:t>
      </w:r>
    </w:p>
    <w:p>
      <w:pPr>
        <w:pStyle w:val="Heading1"/>
        <w:widowControl/>
      </w:pPr>
      <w:r>
        <w:t>3. Proposed Partnership Objectives</w:t>
      </w:r>
    </w:p>
    <w:p>
      <w:pPr>
        <w:widowControl/>
      </w:pPr>
      <w:r>
        <w:rPr>
          <w:i w:val="0"/>
        </w:rPr>
        <w:t>The proposed collaboration seeks to:</w:t>
      </w:r>
    </w:p>
    <w:p>
      <w:pPr>
        <w:spacing w:after="80" w:line="290" w:lineRule="auto"/>
        <w:ind w:left="540" w:hanging="279"/>
        <w:widowControl/>
        <w:numPr>
          <w:ilvl w:val="0"/>
          <w:numId w:val="10"/>
        </w:numPr>
      </w:pPr>
      <w:r>
        <w:t>Strengthen students’ and emerging researchers’ capacity to formulate, conduct, write and communicate credible research.</w:t>
      </w:r>
    </w:p>
    <w:p>
      <w:pPr>
        <w:spacing w:after="80" w:line="290" w:lineRule="auto"/>
        <w:ind w:left="540" w:hanging="279"/>
        <w:widowControl/>
        <w:numPr>
          <w:ilvl w:val="0"/>
          <w:numId w:val="10"/>
        </w:numPr>
      </w:pPr>
      <w:r>
        <w:t>Provide structured access to lecturers, mentors and qualified peer reviewers without weakening existing supervisory relationships.</w:t>
      </w:r>
    </w:p>
    <w:p>
      <w:pPr>
        <w:spacing w:after="80" w:line="290" w:lineRule="auto"/>
        <w:ind w:left="540" w:hanging="279"/>
        <w:widowControl/>
        <w:numPr>
          <w:ilvl w:val="0"/>
          <w:numId w:val="10"/>
        </w:numPr>
      </w:pPr>
      <w:r>
        <w:t>Connect research-methods learning to live topic development, manuscript improvement and publication practice.</w:t>
      </w:r>
    </w:p>
    <w:p>
      <w:pPr>
        <w:spacing w:after="80" w:line="290" w:lineRule="auto"/>
        <w:ind w:left="540" w:hanging="279"/>
        <w:widowControl/>
        <w:numPr>
          <w:ilvl w:val="0"/>
          <w:numId w:val="10"/>
        </w:numPr>
      </w:pPr>
      <w:r>
        <w:t>Create a transparent route for legitimate editing, methodology and data-analysis support.</w:t>
      </w:r>
    </w:p>
    <w:p>
      <w:pPr>
        <w:spacing w:after="80" w:line="290" w:lineRule="auto"/>
        <w:ind w:left="540" w:hanging="279"/>
        <w:widowControl/>
        <w:numPr>
          <w:ilvl w:val="0"/>
          <w:numId w:val="10"/>
        </w:numPr>
      </w:pPr>
      <w:r>
        <w:t>Improve readiness for editorial screening, peer review, revision and scholarly publication.</w:t>
      </w:r>
    </w:p>
    <w:p>
      <w:pPr>
        <w:spacing w:after="80" w:line="290" w:lineRule="auto"/>
        <w:ind w:left="540" w:hanging="279"/>
        <w:widowControl/>
        <w:numPr>
          <w:ilvl w:val="0"/>
          <w:numId w:val="10"/>
        </w:numPr>
      </w:pPr>
      <w:r>
        <w:t>Preserve and showcase institutionally approved research outputs through a searchable repository.</w:t>
      </w:r>
    </w:p>
    <w:p>
      <w:pPr>
        <w:spacing w:after="80" w:line="290" w:lineRule="auto"/>
        <w:ind w:left="540" w:hanging="279"/>
        <w:widowControl/>
        <w:numPr>
          <w:ilvl w:val="0"/>
          <w:numId w:val="10"/>
        </w:numPr>
      </w:pPr>
      <w:r>
        <w:t>Provide the institution with privacy-conscious information on verified affiliation, aggregate participation and approved outputs.</w:t>
      </w:r>
    </w:p>
    <w:p>
      <w:pPr>
        <w:spacing w:after="80" w:line="290" w:lineRule="auto"/>
        <w:ind w:left="540" w:hanging="279"/>
        <w:widowControl/>
        <w:numPr>
          <w:ilvl w:val="0"/>
          <w:numId w:val="10"/>
        </w:numPr>
      </w:pPr>
      <w:r>
        <w:t>Generate pilot evidence that can guide responsible institutional scaling.</w:t>
      </w:r>
    </w:p>
    <w:p>
      <w:pPr>
        <w:pStyle w:val="Heading1"/>
        <w:widowControl/>
      </w:pPr>
      <w:r>
        <w:t>4. Platform Components Available to the Partner</w:t>
      </w:r>
    </w:p>
    <w:tbl>
      <w:tblPr>
        <w:tblW w:type="dxa" w:w="9461"/>
        <w:jc w:val="center"/>
        <w:tblLayout w:type="fixed"/>
        <w:tblLook w:firstColumn="1" w:firstRow="1" w:lastColumn="0" w:lastRow="0" w:noHBand="0" w:noVBand="1" w:val="04A0"/>
        <w:tblBorders>
          <w:top w:val="single" w:sz="5" w:color="D6DEE5"/>
          <w:left w:val="single" w:sz="5" w:color="D6DEE5"/>
          <w:bottom w:val="single" w:sz="5" w:color="D6DEE5"/>
          <w:right w:val="single" w:sz="5" w:color="D6DEE5"/>
          <w:insideH w:val="single" w:sz="5" w:color="D6DEE5"/>
          <w:insideV w:val="single" w:sz="5" w:color="D6DEE5"/>
        </w:tblBorders>
        <w:tblInd w:type="dxa" w:w="120"/>
      </w:tblPr>
      <w:tblGrid>
        <w:gridCol w:w="2300"/>
        <w:gridCol w:w="7161"/>
      </w:tblGrid>
      <w:tr>
        <w:trPr>
          <w:tblHeader w:val="true"/>
          <w:cantSplit/>
        </w:trPr>
        <w:tc>
          <w:tcPr>
            <w:tcW w:type="dxa" w:w="2300"/>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7"/>
              </w:rPr>
              <w:t>Component</w:t>
            </w:r>
          </w:p>
        </w:tc>
        <w:tc>
          <w:tcPr>
            <w:tcW w:type="dxa" w:w="7161"/>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7"/>
              </w:rPr>
              <w:t>Institutional Value</w:t>
            </w:r>
          </w:p>
        </w:tc>
      </w:tr>
      <w:tr>
        <w:trPr>
          <w:cantSplit/>
        </w:trPr>
        <w:tc>
          <w:tcPr>
            <w:tcW w:type="dxa" w:w="2300"/>
            <w:tcMar>
              <w:top w:w="90" w:type="dxa"/>
              <w:start w:w="120" w:type="dxa"/>
              <w:bottom w:w="90" w:type="dxa"/>
              <w:end w:w="120" w:type="dxa"/>
            </w:tcMar>
            <w:vAlign w:val="center"/>
          </w:tcPr>
          <w:p>
            <w:pPr>
              <w:spacing w:after="0" w:line="252" w:lineRule="auto"/>
              <w:jc w:val="left"/>
            </w:pPr>
            <w:r>
              <w:rPr>
                <w:rFonts w:ascii="Calibri" w:hAnsi="Calibri"/>
                <w:color w:val="202124"/>
                <w:sz w:val="17"/>
              </w:rPr>
              <w:t>Topic Studio</w:t>
            </w:r>
          </w:p>
        </w:tc>
        <w:tc>
          <w:tcPr>
            <w:tcW w:type="dxa" w:w="7161"/>
            <w:tcMar>
              <w:top w:w="90" w:type="dxa"/>
              <w:start w:w="120" w:type="dxa"/>
              <w:bottom w:w="90" w:type="dxa"/>
              <w:end w:w="120" w:type="dxa"/>
            </w:tcMar>
            <w:vAlign w:val="center"/>
          </w:tcPr>
          <w:p>
            <w:pPr>
              <w:spacing w:after="0" w:line="252" w:lineRule="auto"/>
              <w:jc w:val="left"/>
            </w:pPr>
            <w:r>
              <w:rPr>
                <w:rFonts w:ascii="Calibri" w:hAnsi="Calibri"/>
                <w:color w:val="202124"/>
                <w:sz w:val="17"/>
              </w:rPr>
              <w:t>Allows users to write, paste or upload a proposed topic; receive improved alternatives; check concept, relationship, population, place, time and scope; and proceed to lecturer consultation.</w:t>
            </w:r>
          </w:p>
        </w:tc>
      </w:tr>
      <w:tr>
        <w:trPr>
          <w:cantSplit/>
        </w:trPr>
        <w:tc>
          <w:tcPr>
            <w:tcW w:type="dxa" w:w="230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Learning Centre</w:t>
            </w:r>
          </w:p>
        </w:tc>
        <w:tc>
          <w:tcPr>
            <w:tcW w:type="dxa" w:w="7161"/>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Provides research-methods lessons, quizzes and progress tracking connected to practical research activity.</w:t>
            </w:r>
          </w:p>
        </w:tc>
      </w:tr>
      <w:tr>
        <w:trPr>
          <w:cantSplit/>
        </w:trPr>
        <w:tc>
          <w:tcPr>
            <w:tcW w:type="dxa" w:w="2300"/>
            <w:tcMar>
              <w:top w:w="90" w:type="dxa"/>
              <w:start w:w="120" w:type="dxa"/>
              <w:bottom w:w="90" w:type="dxa"/>
              <w:end w:w="120" w:type="dxa"/>
            </w:tcMar>
            <w:vAlign w:val="center"/>
          </w:tcPr>
          <w:p>
            <w:pPr>
              <w:spacing w:after="0" w:line="252" w:lineRule="auto"/>
              <w:jc w:val="left"/>
            </w:pPr>
            <w:r>
              <w:rPr>
                <w:rFonts w:ascii="Calibri" w:hAnsi="Calibri"/>
                <w:color w:val="202124"/>
                <w:sz w:val="17"/>
              </w:rPr>
              <w:t>Lecturer consultation</w:t>
            </w:r>
          </w:p>
        </w:tc>
        <w:tc>
          <w:tcPr>
            <w:tcW w:type="dxa" w:w="7161"/>
            <w:tcMar>
              <w:top w:w="90" w:type="dxa"/>
              <w:start w:w="120" w:type="dxa"/>
              <w:bottom w:w="90" w:type="dxa"/>
              <w:end w:w="120" w:type="dxa"/>
            </w:tcMar>
            <w:vAlign w:val="center"/>
          </w:tcPr>
          <w:p>
            <w:pPr>
              <w:spacing w:after="0" w:line="252" w:lineRule="auto"/>
              <w:jc w:val="left"/>
            </w:pPr>
            <w:r>
              <w:rPr>
                <w:rFonts w:ascii="Calibri" w:hAnsi="Calibri"/>
                <w:color w:val="202124"/>
                <w:sz w:val="17"/>
              </w:rPr>
              <w:t>Creates a structured pathway for topic feedback, mentoring and academic guidance.</w:t>
            </w:r>
          </w:p>
        </w:tc>
      </w:tr>
      <w:tr>
        <w:trPr>
          <w:cantSplit/>
        </w:trPr>
        <w:tc>
          <w:tcPr>
            <w:tcW w:type="dxa" w:w="230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Support Services</w:t>
            </w:r>
          </w:p>
        </w:tc>
        <w:tc>
          <w:tcPr>
            <w:tcW w:type="dxa" w:w="7161"/>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Manages legitimate requests for methodology, editing, data analysis and related support through traceable quotations, payments and records.</w:t>
            </w:r>
          </w:p>
        </w:tc>
      </w:tr>
      <w:tr>
        <w:trPr>
          <w:cantSplit/>
        </w:trPr>
        <w:tc>
          <w:tcPr>
            <w:tcW w:type="dxa" w:w="2300"/>
            <w:tcMar>
              <w:top w:w="90" w:type="dxa"/>
              <w:start w:w="120" w:type="dxa"/>
              <w:bottom w:w="90" w:type="dxa"/>
              <w:end w:w="120" w:type="dxa"/>
            </w:tcMar>
            <w:vAlign w:val="center"/>
          </w:tcPr>
          <w:p>
            <w:pPr>
              <w:spacing w:after="0" w:line="252" w:lineRule="auto"/>
              <w:jc w:val="left"/>
            </w:pPr>
            <w:r>
              <w:rPr>
                <w:rFonts w:ascii="Calibri" w:hAnsi="Calibri"/>
                <w:color w:val="202124"/>
                <w:sz w:val="17"/>
              </w:rPr>
              <w:t>Submission and editorial workflow</w:t>
            </w:r>
          </w:p>
        </w:tc>
        <w:tc>
          <w:tcPr>
            <w:tcW w:type="dxa" w:w="7161"/>
            <w:tcMar>
              <w:top w:w="90" w:type="dxa"/>
              <w:start w:w="120" w:type="dxa"/>
              <w:bottom w:w="90" w:type="dxa"/>
              <w:end w:w="120" w:type="dxa"/>
            </w:tcMar>
            <w:vAlign w:val="center"/>
          </w:tcPr>
          <w:p>
            <w:pPr>
              <w:spacing w:after="0" w:line="252" w:lineRule="auto"/>
              <w:jc w:val="left"/>
            </w:pPr>
            <w:r>
              <w:rPr>
                <w:rFonts w:ascii="Calibri" w:hAnsi="Calibri"/>
                <w:color w:val="202124"/>
                <w:sz w:val="17"/>
              </w:rPr>
              <w:t>Supports screening, reviewer assignment, confidential review, revision, decision and publication status tracking.</w:t>
            </w:r>
          </w:p>
        </w:tc>
      </w:tr>
      <w:tr>
        <w:trPr>
          <w:cantSplit/>
        </w:trPr>
        <w:tc>
          <w:tcPr>
            <w:tcW w:type="dxa" w:w="230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Peer-review workspace</w:t>
            </w:r>
          </w:p>
        </w:tc>
        <w:tc>
          <w:tcPr>
            <w:tcW w:type="dxa" w:w="7161"/>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Enables qualified reviewers to provide structured, developmental and confidential assessments.</w:t>
            </w:r>
          </w:p>
        </w:tc>
      </w:tr>
      <w:tr>
        <w:trPr>
          <w:cantSplit/>
        </w:trPr>
        <w:tc>
          <w:tcPr>
            <w:tcW w:type="dxa" w:w="2300"/>
            <w:tcMar>
              <w:top w:w="90" w:type="dxa"/>
              <w:start w:w="120" w:type="dxa"/>
              <w:bottom w:w="90" w:type="dxa"/>
              <w:end w:w="120" w:type="dxa"/>
            </w:tcMar>
            <w:vAlign w:val="center"/>
          </w:tcPr>
          <w:p>
            <w:pPr>
              <w:spacing w:after="0" w:line="252" w:lineRule="auto"/>
              <w:jc w:val="left"/>
            </w:pPr>
            <w:r>
              <w:rPr>
                <w:rFonts w:ascii="Calibri" w:hAnsi="Calibri"/>
                <w:color w:val="202124"/>
                <w:sz w:val="17"/>
              </w:rPr>
              <w:t>Research Repository</w:t>
            </w:r>
          </w:p>
        </w:tc>
        <w:tc>
          <w:tcPr>
            <w:tcW w:type="dxa" w:w="7161"/>
            <w:tcMar>
              <w:top w:w="90" w:type="dxa"/>
              <w:start w:w="120" w:type="dxa"/>
              <w:bottom w:w="90" w:type="dxa"/>
              <w:end w:w="120" w:type="dxa"/>
            </w:tcMar>
            <w:vAlign w:val="center"/>
          </w:tcPr>
          <w:p>
            <w:pPr>
              <w:spacing w:after="0" w:line="252" w:lineRule="auto"/>
              <w:jc w:val="left"/>
            </w:pPr>
            <w:r>
              <w:rPr>
                <w:rFonts w:ascii="Calibri" w:hAnsi="Calibri"/>
                <w:color w:val="202124"/>
                <w:sz w:val="17"/>
              </w:rPr>
              <w:t>Publishes approved outputs with permanent records, citation information, search and controlled sharing.</w:t>
            </w:r>
          </w:p>
        </w:tc>
      </w:tr>
      <w:tr>
        <w:trPr>
          <w:cantSplit/>
        </w:trPr>
        <w:tc>
          <w:tcPr>
            <w:tcW w:type="dxa" w:w="230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Institutional Administrator Dashboard</w:t>
            </w:r>
          </w:p>
        </w:tc>
        <w:tc>
          <w:tcPr>
            <w:tcW w:type="dxa" w:w="7161"/>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Supports affiliation verification, institutional invitations, aggregate activity, approved publications and downloadable reports within strict institutional boundaries.</w:t>
            </w:r>
          </w:p>
        </w:tc>
      </w:tr>
      <w:tr>
        <w:trPr>
          <w:cantSplit/>
        </w:trPr>
        <w:tc>
          <w:tcPr>
            <w:tcW w:type="dxa" w:w="2300"/>
            <w:tcMar>
              <w:top w:w="90" w:type="dxa"/>
              <w:start w:w="120" w:type="dxa"/>
              <w:bottom w:w="90" w:type="dxa"/>
              <w:end w:w="120" w:type="dxa"/>
            </w:tcMar>
            <w:vAlign w:val="center"/>
          </w:tcPr>
          <w:p>
            <w:pPr>
              <w:spacing w:after="0" w:line="252" w:lineRule="auto"/>
              <w:jc w:val="left"/>
            </w:pPr>
            <w:r>
              <w:rPr>
                <w:rFonts w:ascii="Calibri" w:hAnsi="Calibri"/>
                <w:color w:val="202124"/>
                <w:sz w:val="17"/>
              </w:rPr>
              <w:t>Notifications and deadlines</w:t>
            </w:r>
          </w:p>
        </w:tc>
        <w:tc>
          <w:tcPr>
            <w:tcW w:type="dxa" w:w="7161"/>
            <w:tcMar>
              <w:top w:w="90" w:type="dxa"/>
              <w:start w:w="120" w:type="dxa"/>
              <w:bottom w:w="90" w:type="dxa"/>
              <w:end w:w="120" w:type="dxa"/>
            </w:tcMar>
            <w:vAlign w:val="center"/>
          </w:tcPr>
          <w:p>
            <w:pPr>
              <w:spacing w:after="0" w:line="252" w:lineRule="auto"/>
              <w:jc w:val="left"/>
            </w:pPr>
            <w:r>
              <w:rPr>
                <w:rFonts w:ascii="Calibri" w:hAnsi="Calibri"/>
                <w:color w:val="202124"/>
                <w:sz w:val="17"/>
              </w:rPr>
              <w:t>Alerts users to assignments, feedback, revisions, decisions and relevant deadlines.</w:t>
            </w:r>
          </w:p>
        </w:tc>
      </w:tr>
      <w:tr>
        <w:trPr>
          <w:cantSplit/>
        </w:trPr>
        <w:tc>
          <w:tcPr>
            <w:tcW w:type="dxa" w:w="230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Administration and audit controls</w:t>
            </w:r>
          </w:p>
        </w:tc>
        <w:tc>
          <w:tcPr>
            <w:tcW w:type="dxa" w:w="7161"/>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Supports role assignment, quality checks, content management and accountable records.</w:t>
            </w:r>
          </w:p>
        </w:tc>
      </w:tr>
    </w:tbl>
    <w:p>
      <w:pPr>
        <w:widowControl/>
        <w:spacing w:after="0"/>
      </w:pPr>
    </w:p>
    <w:p>
      <w:pPr>
        <w:pStyle w:val="Heading1"/>
        <w:widowControl/>
      </w:pPr>
      <w:r>
        <w:t>5. Proposed Participation Model</w:t>
      </w:r>
    </w:p>
    <w:p>
      <w:pPr>
        <w:widowControl/>
      </w:pPr>
      <w:r>
        <w:rPr>
          <w:i w:val="0"/>
        </w:rPr>
        <w:t>The partnership is designed around complementary roles. Each participant receives only the access needed for the assigned responsibility.</w:t>
      </w:r>
    </w:p>
    <w:tbl>
      <w:tblPr>
        <w:tblW w:type="dxa" w:w="9461"/>
        <w:jc w:val="center"/>
        <w:tblLayout w:type="fixed"/>
        <w:tblLook w:firstColumn="1" w:firstRow="1" w:lastColumn="0" w:lastRow="0" w:noHBand="0" w:noVBand="1" w:val="04A0"/>
        <w:tblBorders>
          <w:top w:val="single" w:sz="5" w:color="D6DEE5"/>
          <w:left w:val="single" w:sz="5" w:color="D6DEE5"/>
          <w:bottom w:val="single" w:sz="5" w:color="D6DEE5"/>
          <w:right w:val="single" w:sz="5" w:color="D6DEE5"/>
          <w:insideH w:val="single" w:sz="5" w:color="D6DEE5"/>
          <w:insideV w:val="single" w:sz="5" w:color="D6DEE5"/>
        </w:tblBorders>
        <w:tblInd w:type="dxa" w:w="120"/>
      </w:tblPr>
      <w:tblGrid>
        <w:gridCol w:w="1600"/>
        <w:gridCol w:w="3980"/>
        <w:gridCol w:w="3881"/>
      </w:tblGrid>
      <w:tr>
        <w:trPr>
          <w:tblHeader w:val="true"/>
          <w:cantSplit/>
        </w:trPr>
        <w:tc>
          <w:tcPr>
            <w:tcW w:type="dxa" w:w="1600"/>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7"/>
              </w:rPr>
              <w:t>Participant</w:t>
            </w:r>
          </w:p>
        </w:tc>
        <w:tc>
          <w:tcPr>
            <w:tcW w:type="dxa" w:w="3980"/>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7"/>
              </w:rPr>
              <w:t>Proposed Role</w:t>
            </w:r>
          </w:p>
        </w:tc>
        <w:tc>
          <w:tcPr>
            <w:tcW w:type="dxa" w:w="3881"/>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7"/>
              </w:rPr>
              <w:t>Access Boundary</w:t>
            </w:r>
          </w:p>
        </w:tc>
      </w:tr>
      <w:tr>
        <w:trPr>
          <w:cantSplit/>
        </w:trPr>
        <w:tc>
          <w:tcPr>
            <w:tcW w:type="dxa" w:w="1600"/>
            <w:tcMar>
              <w:top w:w="90" w:type="dxa"/>
              <w:start w:w="120" w:type="dxa"/>
              <w:bottom w:w="90" w:type="dxa"/>
              <w:end w:w="120" w:type="dxa"/>
            </w:tcMar>
            <w:vAlign w:val="center"/>
          </w:tcPr>
          <w:p>
            <w:pPr>
              <w:spacing w:after="0" w:line="252" w:lineRule="auto"/>
              <w:jc w:val="left"/>
            </w:pPr>
            <w:r>
              <w:rPr>
                <w:rFonts w:ascii="Calibri" w:hAnsi="Calibri"/>
                <w:color w:val="202124"/>
                <w:sz w:val="17"/>
              </w:rPr>
              <w:t>Institution</w:t>
            </w:r>
          </w:p>
        </w:tc>
        <w:tc>
          <w:tcPr>
            <w:tcW w:type="dxa" w:w="3980"/>
            <w:tcMar>
              <w:top w:w="90" w:type="dxa"/>
              <w:start w:w="120" w:type="dxa"/>
              <w:bottom w:w="90" w:type="dxa"/>
              <w:end w:w="120" w:type="dxa"/>
            </w:tcMar>
            <w:vAlign w:val="center"/>
          </w:tcPr>
          <w:p>
            <w:pPr>
              <w:spacing w:after="0" w:line="252" w:lineRule="auto"/>
              <w:jc w:val="left"/>
            </w:pPr>
            <w:r>
              <w:rPr>
                <w:rFonts w:ascii="Calibri" w:hAnsi="Calibri"/>
                <w:color w:val="202124"/>
                <w:sz w:val="17"/>
              </w:rPr>
              <w:t>Approves the pilot, nominates a focal person, supports participant identification and aligns the pilot with institutional policy.</w:t>
            </w:r>
          </w:p>
        </w:tc>
        <w:tc>
          <w:tcPr>
            <w:tcW w:type="dxa" w:w="3881"/>
            <w:tcMar>
              <w:top w:w="90" w:type="dxa"/>
              <w:start w:w="120" w:type="dxa"/>
              <w:bottom w:w="90" w:type="dxa"/>
              <w:end w:w="120" w:type="dxa"/>
            </w:tcMar>
            <w:vAlign w:val="center"/>
          </w:tcPr>
          <w:p>
            <w:pPr>
              <w:spacing w:after="0" w:line="252" w:lineRule="auto"/>
              <w:jc w:val="left"/>
            </w:pPr>
            <w:r>
              <w:rPr>
                <w:rFonts w:ascii="Calibri" w:hAnsi="Calibri"/>
                <w:color w:val="202124"/>
                <w:sz w:val="17"/>
              </w:rPr>
              <w:t>Retains academic authority and receives agreed institutional reports.</w:t>
            </w:r>
          </w:p>
        </w:tc>
      </w:tr>
      <w:tr>
        <w:trPr>
          <w:cantSplit/>
        </w:trPr>
        <w:tc>
          <w:tcPr>
            <w:tcW w:type="dxa" w:w="160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Institutional administrator</w:t>
            </w:r>
          </w:p>
        </w:tc>
        <w:tc>
          <w:tcPr>
            <w:tcW w:type="dxa" w:w="398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Verifies affiliations, manages institutional invitations and observes approved institutional activity.</w:t>
            </w:r>
          </w:p>
        </w:tc>
        <w:tc>
          <w:tcPr>
            <w:tcW w:type="dxa" w:w="3881"/>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Cannot access private manuscripts, reviewer identities, confidential reports, payments, editorial decisions or another institution’s data.</w:t>
            </w:r>
          </w:p>
        </w:tc>
      </w:tr>
      <w:tr>
        <w:trPr>
          <w:cantSplit/>
        </w:trPr>
        <w:tc>
          <w:tcPr>
            <w:tcW w:type="dxa" w:w="1600"/>
            <w:tcMar>
              <w:top w:w="90" w:type="dxa"/>
              <w:start w:w="120" w:type="dxa"/>
              <w:bottom w:w="90" w:type="dxa"/>
              <w:end w:w="120" w:type="dxa"/>
            </w:tcMar>
            <w:vAlign w:val="center"/>
          </w:tcPr>
          <w:p>
            <w:pPr>
              <w:spacing w:after="0" w:line="252" w:lineRule="auto"/>
              <w:jc w:val="left"/>
            </w:pPr>
            <w:r>
              <w:rPr>
                <w:rFonts w:ascii="Calibri" w:hAnsi="Calibri"/>
                <w:color w:val="202124"/>
                <w:sz w:val="17"/>
              </w:rPr>
              <w:t>Lecturers/mentors</w:t>
            </w:r>
          </w:p>
        </w:tc>
        <w:tc>
          <w:tcPr>
            <w:tcW w:type="dxa" w:w="3980"/>
            <w:tcMar>
              <w:top w:w="90" w:type="dxa"/>
              <w:start w:w="120" w:type="dxa"/>
              <w:bottom w:w="90" w:type="dxa"/>
              <w:end w:w="120" w:type="dxa"/>
            </w:tcMar>
            <w:vAlign w:val="center"/>
          </w:tcPr>
          <w:p>
            <w:pPr>
              <w:spacing w:after="0" w:line="252" w:lineRule="auto"/>
              <w:jc w:val="left"/>
            </w:pPr>
            <w:r>
              <w:rPr>
                <w:rFonts w:ascii="Calibri" w:hAnsi="Calibri"/>
                <w:color w:val="202124"/>
                <w:sz w:val="17"/>
              </w:rPr>
              <w:t>Guide topic refinement, support learning and provide developmental consultation within agreed workloads.</w:t>
            </w:r>
          </w:p>
        </w:tc>
        <w:tc>
          <w:tcPr>
            <w:tcW w:type="dxa" w:w="3881"/>
            <w:tcMar>
              <w:top w:w="90" w:type="dxa"/>
              <w:start w:w="120" w:type="dxa"/>
              <w:bottom w:w="90" w:type="dxa"/>
              <w:end w:w="120" w:type="dxa"/>
            </w:tcMar>
            <w:vAlign w:val="center"/>
          </w:tcPr>
          <w:p>
            <w:pPr>
              <w:spacing w:after="0" w:line="252" w:lineRule="auto"/>
              <w:jc w:val="left"/>
            </w:pPr>
            <w:r>
              <w:rPr>
                <w:rFonts w:ascii="Calibri" w:hAnsi="Calibri"/>
                <w:color w:val="202124"/>
                <w:sz w:val="17"/>
              </w:rPr>
              <w:t>Access is limited to assigned consultations and authorised academic activity.</w:t>
            </w:r>
          </w:p>
        </w:tc>
      </w:tr>
      <w:tr>
        <w:trPr>
          <w:cantSplit/>
        </w:trPr>
        <w:tc>
          <w:tcPr>
            <w:tcW w:type="dxa" w:w="160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Peer reviewers</w:t>
            </w:r>
          </w:p>
        </w:tc>
        <w:tc>
          <w:tcPr>
            <w:tcW w:type="dxa" w:w="398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Evaluate assigned manuscripts objectively, confidentially and within agreed timelines.</w:t>
            </w:r>
          </w:p>
        </w:tc>
        <w:tc>
          <w:tcPr>
            <w:tcW w:type="dxa" w:w="3881"/>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Access is limited to assigned review materials; conflicts of interest must be declared.</w:t>
            </w:r>
          </w:p>
        </w:tc>
      </w:tr>
      <w:tr>
        <w:trPr>
          <w:cantSplit/>
        </w:trPr>
        <w:tc>
          <w:tcPr>
            <w:tcW w:type="dxa" w:w="1600"/>
            <w:tcMar>
              <w:top w:w="90" w:type="dxa"/>
              <w:start w:w="120" w:type="dxa"/>
              <w:bottom w:w="90" w:type="dxa"/>
              <w:end w:w="120" w:type="dxa"/>
            </w:tcMar>
            <w:vAlign w:val="center"/>
          </w:tcPr>
          <w:p>
            <w:pPr>
              <w:spacing w:after="0" w:line="252" w:lineRule="auto"/>
              <w:jc w:val="left"/>
            </w:pPr>
            <w:r>
              <w:rPr>
                <w:rFonts w:ascii="Calibri" w:hAnsi="Calibri"/>
                <w:color w:val="202124"/>
                <w:sz w:val="17"/>
              </w:rPr>
              <w:t>Students/researchers</w:t>
            </w:r>
          </w:p>
        </w:tc>
        <w:tc>
          <w:tcPr>
            <w:tcW w:type="dxa" w:w="3980"/>
            <w:tcMar>
              <w:top w:w="90" w:type="dxa"/>
              <w:start w:w="120" w:type="dxa"/>
              <w:bottom w:w="90" w:type="dxa"/>
              <w:end w:w="120" w:type="dxa"/>
            </w:tcMar>
            <w:vAlign w:val="center"/>
          </w:tcPr>
          <w:p>
            <w:pPr>
              <w:spacing w:after="0" w:line="252" w:lineRule="auto"/>
              <w:jc w:val="left"/>
            </w:pPr>
            <w:r>
              <w:rPr>
                <w:rFonts w:ascii="Calibri" w:hAnsi="Calibri"/>
                <w:color w:val="202124"/>
                <w:sz w:val="17"/>
              </w:rPr>
              <w:t>Learn, develop topics, seek approved guidance, submit genuine work, respond to feedback and authorise publication.</w:t>
            </w:r>
          </w:p>
        </w:tc>
        <w:tc>
          <w:tcPr>
            <w:tcW w:type="dxa" w:w="3881"/>
            <w:tcMar>
              <w:top w:w="90" w:type="dxa"/>
              <w:start w:w="120" w:type="dxa"/>
              <w:bottom w:w="90" w:type="dxa"/>
              <w:end w:w="120" w:type="dxa"/>
            </w:tcMar>
            <w:vAlign w:val="center"/>
          </w:tcPr>
          <w:p>
            <w:pPr>
              <w:spacing w:after="0" w:line="252" w:lineRule="auto"/>
              <w:jc w:val="left"/>
            </w:pPr>
            <w:r>
              <w:rPr>
                <w:rFonts w:ascii="Calibri" w:hAnsi="Calibri"/>
                <w:color w:val="202124"/>
                <w:sz w:val="17"/>
              </w:rPr>
              <w:t>Retain responsibility for authorship, ethics compliance and the accuracy of their work.</w:t>
            </w:r>
          </w:p>
        </w:tc>
      </w:tr>
      <w:tr>
        <w:trPr>
          <w:cantSplit/>
        </w:trPr>
        <w:tc>
          <w:tcPr>
            <w:tcW w:type="dxa" w:w="160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ResearchBridge Africa</w:t>
            </w:r>
          </w:p>
        </w:tc>
        <w:tc>
          <w:tcPr>
            <w:tcW w:type="dxa" w:w="398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Provides and administers the platform, onboarding, technical support, workflow controls, reporting and improvement.</w:t>
            </w:r>
          </w:p>
        </w:tc>
        <w:tc>
          <w:tcPr>
            <w:tcW w:type="dxa" w:w="3881"/>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Does not replace institutional ethics approval, supervision or final academic authority.</w:t>
            </w:r>
          </w:p>
        </w:tc>
      </w:tr>
    </w:tbl>
    <w:p>
      <w:pPr>
        <w:widowControl/>
        <w:spacing w:after="0"/>
      </w:pPr>
    </w:p>
    <w:p>
      <w:pPr>
        <w:pStyle w:val="Heading1"/>
        <w:widowControl/>
      </w:pPr>
      <w:r>
        <w:t>6. Benefits to [Name of Institution]</w:t>
      </w:r>
    </w:p>
    <w:p>
      <w:pPr>
        <w:pStyle w:val="Heading2"/>
        <w:widowControl/>
      </w:pPr>
      <w:r>
        <w:t>6.1 Academic and Student Development</w:t>
      </w:r>
    </w:p>
    <w:p>
      <w:pPr>
        <w:pStyle w:val="ListBullet"/>
        <w:widowControl/>
        <w:spacing w:after="80" w:line="290" w:lineRule="auto"/>
        <w:ind w:left="540" w:hanging="279"/>
      </w:pPr>
      <w:r>
        <w:t>Earlier identification and correction of weak, unclear or over-broad research topics.</w:t>
      </w:r>
    </w:p>
    <w:p>
      <w:pPr>
        <w:pStyle w:val="ListBullet"/>
        <w:widowControl/>
        <w:spacing w:after="80" w:line="290" w:lineRule="auto"/>
        <w:ind w:left="540" w:hanging="279"/>
      </w:pPr>
      <w:r>
        <w:t>Practical reinforcement of research-methods teaching through guided application.</w:t>
      </w:r>
    </w:p>
    <w:p>
      <w:pPr>
        <w:pStyle w:val="ListBullet"/>
        <w:widowControl/>
        <w:spacing w:after="80" w:line="290" w:lineRule="auto"/>
        <w:ind w:left="540" w:hanging="279"/>
      </w:pPr>
      <w:r>
        <w:t>Improved student readiness for supervision, data analysis, academic writing, review and revision.</w:t>
      </w:r>
    </w:p>
    <w:p>
      <w:pPr>
        <w:pStyle w:val="ListBullet"/>
        <w:widowControl/>
        <w:spacing w:after="80" w:line="290" w:lineRule="auto"/>
        <w:ind w:left="540" w:hanging="279"/>
      </w:pPr>
      <w:r>
        <w:t>A developmental environment that can reduce fear of criticism and improve response to feedback.</w:t>
      </w:r>
    </w:p>
    <w:p>
      <w:pPr>
        <w:pStyle w:val="Heading2"/>
        <w:widowControl/>
      </w:pPr>
      <w:r>
        <w:t>6.2 Institutional Quality and Visibility</w:t>
      </w:r>
    </w:p>
    <w:p>
      <w:pPr>
        <w:pStyle w:val="ListBullet"/>
        <w:widowControl/>
        <w:spacing w:after="80" w:line="290" w:lineRule="auto"/>
        <w:ind w:left="540" w:hanging="279"/>
      </w:pPr>
      <w:r>
        <w:t>A structured pathway for strengthening the quality of research outputs before publication.</w:t>
      </w:r>
    </w:p>
    <w:p>
      <w:pPr>
        <w:pStyle w:val="ListBullet"/>
        <w:widowControl/>
        <w:spacing w:after="80" w:line="290" w:lineRule="auto"/>
        <w:ind w:left="540" w:hanging="279"/>
      </w:pPr>
      <w:r>
        <w:t>A searchable showcase for approved institutional and locally relevant research.</w:t>
      </w:r>
    </w:p>
    <w:p>
      <w:pPr>
        <w:pStyle w:val="ListBullet"/>
        <w:widowControl/>
        <w:spacing w:after="80" w:line="290" w:lineRule="auto"/>
        <w:ind w:left="540" w:hanging="279"/>
      </w:pPr>
      <w:r>
        <w:t>Downloadable institutional summaries for planning, reporting and continuous improvement.</w:t>
      </w:r>
    </w:p>
    <w:p>
      <w:pPr>
        <w:pStyle w:val="ListBullet"/>
        <w:widowControl/>
        <w:spacing w:after="80" w:line="290" w:lineRule="auto"/>
        <w:ind w:left="540" w:hanging="279"/>
      </w:pPr>
      <w:r>
        <w:t>Improved opportunities to connect research findings with policy, professional practice and community needs.</w:t>
      </w:r>
    </w:p>
    <w:p>
      <w:pPr>
        <w:pStyle w:val="Heading2"/>
        <w:widowControl/>
      </w:pPr>
      <w:r>
        <w:t>6.3 Faculty and Reviewer Engagement</w:t>
      </w:r>
    </w:p>
    <w:p>
      <w:pPr>
        <w:pStyle w:val="ListBullet"/>
        <w:widowControl/>
        <w:spacing w:after="80" w:line="290" w:lineRule="auto"/>
        <w:ind w:left="540" w:hanging="279"/>
      </w:pPr>
      <w:r>
        <w:t>Defined digital spaces for topic consultation, mentoring, editorial work and peer review.</w:t>
      </w:r>
    </w:p>
    <w:p>
      <w:pPr>
        <w:pStyle w:val="ListBullet"/>
        <w:widowControl/>
        <w:spacing w:after="80" w:line="290" w:lineRule="auto"/>
        <w:ind w:left="540" w:hanging="279"/>
      </w:pPr>
      <w:r>
        <w:t>Recognition of verified participation, subject to agreed policies and evidence requirements.</w:t>
      </w:r>
    </w:p>
    <w:p>
      <w:pPr>
        <w:pStyle w:val="ListBullet"/>
        <w:widowControl/>
        <w:spacing w:after="80" w:line="290" w:lineRule="auto"/>
        <w:ind w:left="540" w:hanging="279"/>
      </w:pPr>
      <w:r>
        <w:t>Opportunities for cross-institutional scholarly exchange and reviewer development.</w:t>
      </w:r>
    </w:p>
    <w:p>
      <w:pPr>
        <w:pStyle w:val="ListBullet"/>
        <w:widowControl/>
        <w:spacing w:after="80" w:line="290" w:lineRule="auto"/>
        <w:ind w:left="540" w:hanging="279"/>
      </w:pPr>
      <w:r>
        <w:t>Reduced dependence on unstructured email exchanges for supported platform activities.</w:t>
      </w:r>
    </w:p>
    <w:p>
      <w:pPr>
        <w:pStyle w:val="Heading2"/>
        <w:widowControl/>
      </w:pPr>
      <w:r>
        <w:t>6.4 Governance and Accountability</w:t>
      </w:r>
    </w:p>
    <w:p>
      <w:pPr>
        <w:pStyle w:val="ListBullet"/>
        <w:widowControl/>
        <w:spacing w:after="80" w:line="290" w:lineRule="auto"/>
        <w:ind w:left="540" w:hanging="279"/>
      </w:pPr>
      <w:r>
        <w:t>Verified institutional affiliations and role-based access.</w:t>
      </w:r>
    </w:p>
    <w:p>
      <w:pPr>
        <w:pStyle w:val="ListBullet"/>
        <w:widowControl/>
        <w:spacing w:after="80" w:line="290" w:lineRule="auto"/>
        <w:ind w:left="540" w:hanging="279"/>
      </w:pPr>
      <w:r>
        <w:t>Clear separation between institutional oversight and confidential scholarly processes.</w:t>
      </w:r>
    </w:p>
    <w:p>
      <w:pPr>
        <w:pStyle w:val="ListBullet"/>
        <w:widowControl/>
        <w:spacing w:after="80" w:line="290" w:lineRule="auto"/>
        <w:ind w:left="540" w:hanging="279"/>
      </w:pPr>
      <w:r>
        <w:t>Traceable workflow records and agreed aggregate indicators.</w:t>
      </w:r>
    </w:p>
    <w:p>
      <w:pPr>
        <w:pStyle w:val="ListBullet"/>
        <w:widowControl/>
        <w:spacing w:after="80" w:line="290" w:lineRule="auto"/>
        <w:ind w:left="540" w:hanging="279"/>
      </w:pPr>
      <w:r>
        <w:t>A controlled environment for testing innovations before wider adoption.</w:t>
      </w:r>
    </w:p>
    <w:p>
      <w:pPr>
        <w:pStyle w:val="Heading1"/>
        <w:widowControl/>
      </w:pPr>
      <w:r>
        <w:t>7. Proposed Controlled Pilot</w:t>
      </w:r>
    </w:p>
    <w:p>
      <w:pPr>
        <w:widowControl/>
      </w:pPr>
      <w:r>
        <w:rPr>
          <w:i w:val="0"/>
        </w:rPr>
        <w:t>ResearchBridge Africa proposes a limited 3–6 month pilot designed jointly with the institution. The final cohort size and activities should reflect available supervisory and reviewer capacity. A practical starting configuration is outlined below.</w:t>
      </w:r>
    </w:p>
    <w:tbl>
      <w:tblPr>
        <w:tblW w:type="dxa" w:w="9461"/>
        <w:jc w:val="center"/>
        <w:tblLayout w:type="fixed"/>
        <w:tblLook w:firstColumn="1" w:firstRow="1" w:lastColumn="0" w:lastRow="0" w:noHBand="0" w:noVBand="1" w:val="04A0"/>
        <w:tblBorders>
          <w:top w:val="single" w:sz="5" w:color="D6DEE5"/>
          <w:left w:val="single" w:sz="5" w:color="D6DEE5"/>
          <w:bottom w:val="single" w:sz="5" w:color="D6DEE5"/>
          <w:right w:val="single" w:sz="5" w:color="D6DEE5"/>
          <w:insideH w:val="single" w:sz="5" w:color="D6DEE5"/>
          <w:insideV w:val="single" w:sz="5" w:color="D6DEE5"/>
        </w:tblBorders>
        <w:tblInd w:type="dxa" w:w="120"/>
      </w:tblPr>
      <w:tblGrid>
        <w:gridCol w:w="2400"/>
        <w:gridCol w:w="7061"/>
      </w:tblGrid>
      <w:tr>
        <w:trPr>
          <w:tblHeader w:val="true"/>
          <w:cantSplit/>
        </w:trPr>
        <w:tc>
          <w:tcPr>
            <w:tcW w:type="dxa" w:w="2400"/>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8"/>
              </w:rPr>
              <w:t>Pilot Element</w:t>
            </w:r>
          </w:p>
        </w:tc>
        <w:tc>
          <w:tcPr>
            <w:tcW w:type="dxa" w:w="7061"/>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8"/>
              </w:rPr>
              <w:t>Illustrative Scope</w:t>
            </w:r>
          </w:p>
        </w:tc>
      </w:tr>
      <w:tr>
        <w:trPr>
          <w:cantSplit/>
        </w:trPr>
        <w:tc>
          <w:tcPr>
            <w:tcW w:type="dxa" w:w="2400"/>
            <w:tcMar>
              <w:top w:w="90" w:type="dxa"/>
              <w:start w:w="120" w:type="dxa"/>
              <w:bottom w:w="90" w:type="dxa"/>
              <w:end w:w="120" w:type="dxa"/>
            </w:tcMar>
            <w:vAlign w:val="center"/>
          </w:tcPr>
          <w:p>
            <w:pPr>
              <w:spacing w:after="0" w:line="252" w:lineRule="auto"/>
              <w:jc w:val="left"/>
            </w:pPr>
            <w:r>
              <w:rPr>
                <w:rFonts w:ascii="Calibri" w:hAnsi="Calibri"/>
                <w:color w:val="202124"/>
                <w:sz w:val="18"/>
              </w:rPr>
              <w:t>Institutional lead</w:t>
            </w:r>
          </w:p>
        </w:tc>
        <w:tc>
          <w:tcPr>
            <w:tcW w:type="dxa" w:w="7061"/>
            <w:tcMar>
              <w:top w:w="90" w:type="dxa"/>
              <w:start w:w="120" w:type="dxa"/>
              <w:bottom w:w="90" w:type="dxa"/>
              <w:end w:w="120" w:type="dxa"/>
            </w:tcMar>
            <w:vAlign w:val="center"/>
          </w:tcPr>
          <w:p>
            <w:pPr>
              <w:spacing w:after="0" w:line="252" w:lineRule="auto"/>
              <w:jc w:val="left"/>
            </w:pPr>
            <w:r>
              <w:rPr>
                <w:rFonts w:ascii="Calibri" w:hAnsi="Calibri"/>
                <w:color w:val="202124"/>
                <w:sz w:val="18"/>
              </w:rPr>
              <w:t>One authorised institutional administrator/focal person.</w:t>
            </w:r>
          </w:p>
        </w:tc>
      </w:tr>
      <w:tr>
        <w:trPr>
          <w:cantSplit/>
        </w:trPr>
        <w:tc>
          <w:tcPr>
            <w:tcW w:type="dxa" w:w="24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Lecturers/mentors</w:t>
            </w:r>
          </w:p>
        </w:tc>
        <w:tc>
          <w:tcPr>
            <w:tcW w:type="dxa" w:w="70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Two to five verified lecturers drawn from participating departments.</w:t>
            </w:r>
          </w:p>
        </w:tc>
      </w:tr>
      <w:tr>
        <w:trPr>
          <w:cantSplit/>
        </w:trPr>
        <w:tc>
          <w:tcPr>
            <w:tcW w:type="dxa" w:w="2400"/>
            <w:tcMar>
              <w:top w:w="90" w:type="dxa"/>
              <w:start w:w="120" w:type="dxa"/>
              <w:bottom w:w="90" w:type="dxa"/>
              <w:end w:w="120" w:type="dxa"/>
            </w:tcMar>
            <w:vAlign w:val="center"/>
          </w:tcPr>
          <w:p>
            <w:pPr>
              <w:spacing w:after="0" w:line="252" w:lineRule="auto"/>
              <w:jc w:val="left"/>
            </w:pPr>
            <w:r>
              <w:rPr>
                <w:rFonts w:ascii="Calibri" w:hAnsi="Calibri"/>
                <w:color w:val="202124"/>
                <w:sz w:val="18"/>
              </w:rPr>
              <w:t>Peer reviewers</w:t>
            </w:r>
          </w:p>
        </w:tc>
        <w:tc>
          <w:tcPr>
            <w:tcW w:type="dxa" w:w="7061"/>
            <w:tcMar>
              <w:top w:w="90" w:type="dxa"/>
              <w:start w:w="120" w:type="dxa"/>
              <w:bottom w:w="90" w:type="dxa"/>
              <w:end w:w="120" w:type="dxa"/>
            </w:tcMar>
            <w:vAlign w:val="center"/>
          </w:tcPr>
          <w:p>
            <w:pPr>
              <w:spacing w:after="0" w:line="252" w:lineRule="auto"/>
              <w:jc w:val="left"/>
            </w:pPr>
            <w:r>
              <w:rPr>
                <w:rFonts w:ascii="Calibri" w:hAnsi="Calibri"/>
                <w:color w:val="202124"/>
                <w:sz w:val="18"/>
              </w:rPr>
              <w:t>Two to five qualified reviewers with declared areas of expertise.</w:t>
            </w:r>
          </w:p>
        </w:tc>
      </w:tr>
      <w:tr>
        <w:trPr>
          <w:cantSplit/>
        </w:trPr>
        <w:tc>
          <w:tcPr>
            <w:tcW w:type="dxa" w:w="24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Student/researcher cohort</w:t>
            </w:r>
          </w:p>
        </w:tc>
        <w:tc>
          <w:tcPr>
            <w:tcW w:type="dxa" w:w="70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Twenty to fifty participants, or another mutually agreed number.</w:t>
            </w:r>
          </w:p>
        </w:tc>
      </w:tr>
      <w:tr>
        <w:trPr>
          <w:cantSplit/>
        </w:trPr>
        <w:tc>
          <w:tcPr>
            <w:tcW w:type="dxa" w:w="2400"/>
            <w:tcMar>
              <w:top w:w="90" w:type="dxa"/>
              <w:start w:w="120" w:type="dxa"/>
              <w:bottom w:w="90" w:type="dxa"/>
              <w:end w:w="120" w:type="dxa"/>
            </w:tcMar>
            <w:vAlign w:val="center"/>
          </w:tcPr>
          <w:p>
            <w:pPr>
              <w:spacing w:after="0" w:line="252" w:lineRule="auto"/>
              <w:jc w:val="left"/>
            </w:pPr>
            <w:r>
              <w:rPr>
                <w:rFonts w:ascii="Calibri" w:hAnsi="Calibri"/>
                <w:color w:val="202124"/>
                <w:sz w:val="18"/>
              </w:rPr>
              <w:t>Academic areas</w:t>
            </w:r>
          </w:p>
        </w:tc>
        <w:tc>
          <w:tcPr>
            <w:tcW w:type="dxa" w:w="7061"/>
            <w:tcMar>
              <w:top w:w="90" w:type="dxa"/>
              <w:start w:w="120" w:type="dxa"/>
              <w:bottom w:w="90" w:type="dxa"/>
              <w:end w:w="120" w:type="dxa"/>
            </w:tcMar>
            <w:vAlign w:val="center"/>
          </w:tcPr>
          <w:p>
            <w:pPr>
              <w:spacing w:after="0" w:line="252" w:lineRule="auto"/>
              <w:jc w:val="left"/>
            </w:pPr>
            <w:r>
              <w:rPr>
                <w:rFonts w:ascii="Calibri" w:hAnsi="Calibri"/>
                <w:color w:val="202124"/>
                <w:sz w:val="18"/>
              </w:rPr>
              <w:t>One to three departments or research programmes for manageable evaluation.</w:t>
            </w:r>
          </w:p>
        </w:tc>
      </w:tr>
      <w:tr>
        <w:trPr>
          <w:cantSplit/>
        </w:trPr>
        <w:tc>
          <w:tcPr>
            <w:tcW w:type="dxa" w:w="24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Core journey</w:t>
            </w:r>
          </w:p>
        </w:tc>
        <w:tc>
          <w:tcPr>
            <w:tcW w:type="dxa" w:w="70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Topic improvement, learning/consultation, selected support, submission, review, revision and approved publication.</w:t>
            </w:r>
          </w:p>
        </w:tc>
      </w:tr>
      <w:tr>
        <w:trPr>
          <w:cantSplit/>
        </w:trPr>
        <w:tc>
          <w:tcPr>
            <w:tcW w:type="dxa" w:w="2400"/>
            <w:tcMar>
              <w:top w:w="90" w:type="dxa"/>
              <w:start w:w="120" w:type="dxa"/>
              <w:bottom w:w="90" w:type="dxa"/>
              <w:end w:w="120" w:type="dxa"/>
            </w:tcMar>
            <w:vAlign w:val="center"/>
          </w:tcPr>
          <w:p>
            <w:pPr>
              <w:spacing w:after="0" w:line="252" w:lineRule="auto"/>
              <w:jc w:val="left"/>
            </w:pPr>
            <w:r>
              <w:rPr>
                <w:rFonts w:ascii="Calibri" w:hAnsi="Calibri"/>
                <w:color w:val="202124"/>
                <w:sz w:val="18"/>
              </w:rPr>
              <w:t>Orientation</w:t>
            </w:r>
          </w:p>
        </w:tc>
        <w:tc>
          <w:tcPr>
            <w:tcW w:type="dxa" w:w="7061"/>
            <w:tcMar>
              <w:top w:w="90" w:type="dxa"/>
              <w:start w:w="120" w:type="dxa"/>
              <w:bottom w:w="90" w:type="dxa"/>
              <w:end w:w="120" w:type="dxa"/>
            </w:tcMar>
            <w:vAlign w:val="center"/>
          </w:tcPr>
          <w:p>
            <w:pPr>
              <w:spacing w:after="0" w:line="252" w:lineRule="auto"/>
              <w:jc w:val="left"/>
            </w:pPr>
            <w:r>
              <w:rPr>
                <w:rFonts w:ascii="Calibri" w:hAnsi="Calibri"/>
                <w:color w:val="202124"/>
                <w:sz w:val="18"/>
              </w:rPr>
              <w:t>Role-based onboarding and written guidance before live participation.</w:t>
            </w:r>
          </w:p>
        </w:tc>
      </w:tr>
      <w:tr>
        <w:trPr>
          <w:cantSplit/>
        </w:trPr>
        <w:tc>
          <w:tcPr>
            <w:tcW w:type="dxa" w:w="24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Evaluation</w:t>
            </w:r>
          </w:p>
        </w:tc>
        <w:tc>
          <w:tcPr>
            <w:tcW w:type="dxa" w:w="70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Baseline expectations, monthly review and end-of-pilot assessment.</w:t>
            </w:r>
          </w:p>
        </w:tc>
      </w:tr>
    </w:tbl>
    <w:p>
      <w:pPr>
        <w:widowControl/>
        <w:spacing w:after="0"/>
      </w:pPr>
    </w:p>
    <w:p>
      <w:pPr>
        <w:pStyle w:val="Heading2"/>
        <w:widowControl/>
      </w:pPr>
      <w:r>
        <w:t>7.1 Pilot Phases</w:t>
      </w:r>
    </w:p>
    <w:tbl>
      <w:tblPr>
        <w:tblW w:type="dxa" w:w="9461"/>
        <w:jc w:val="center"/>
        <w:tblLayout w:type="fixed"/>
        <w:tblLook w:firstColumn="1" w:firstRow="1" w:lastColumn="0" w:lastRow="0" w:noHBand="0" w:noVBand="1" w:val="04A0"/>
        <w:tblBorders>
          <w:top w:val="single" w:sz="5" w:color="D6DEE5"/>
          <w:left w:val="single" w:sz="5" w:color="D6DEE5"/>
          <w:bottom w:val="single" w:sz="5" w:color="D6DEE5"/>
          <w:right w:val="single" w:sz="5" w:color="D6DEE5"/>
          <w:insideH w:val="single" w:sz="5" w:color="D6DEE5"/>
          <w:insideV w:val="single" w:sz="5" w:color="D6DEE5"/>
        </w:tblBorders>
        <w:tblInd w:type="dxa" w:w="120"/>
      </w:tblPr>
      <w:tblGrid>
        <w:gridCol w:w="1050"/>
        <w:gridCol w:w="1300"/>
        <w:gridCol w:w="4660"/>
        <w:gridCol w:w="2451"/>
      </w:tblGrid>
      <w:tr>
        <w:trPr>
          <w:tblHeader w:val="true"/>
          <w:cantSplit/>
        </w:trPr>
        <w:tc>
          <w:tcPr>
            <w:tcW w:type="dxa" w:w="1050"/>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7"/>
              </w:rPr>
              <w:t>Phase</w:t>
            </w:r>
          </w:p>
        </w:tc>
        <w:tc>
          <w:tcPr>
            <w:tcW w:type="dxa" w:w="1300"/>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7"/>
              </w:rPr>
              <w:t>Indicative Period</w:t>
            </w:r>
          </w:p>
        </w:tc>
        <w:tc>
          <w:tcPr>
            <w:tcW w:type="dxa" w:w="4660"/>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7"/>
              </w:rPr>
              <w:t>Key Activities</w:t>
            </w:r>
          </w:p>
        </w:tc>
        <w:tc>
          <w:tcPr>
            <w:tcW w:type="dxa" w:w="2451"/>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7"/>
              </w:rPr>
              <w:t>Primary Output</w:t>
            </w:r>
          </w:p>
        </w:tc>
      </w:tr>
      <w:tr>
        <w:trPr>
          <w:cantSplit/>
        </w:trPr>
        <w:tc>
          <w:tcPr>
            <w:tcW w:type="dxa" w:w="1050"/>
            <w:tcMar>
              <w:top w:w="90" w:type="dxa"/>
              <w:start w:w="120" w:type="dxa"/>
              <w:bottom w:w="90" w:type="dxa"/>
              <w:end w:w="120" w:type="dxa"/>
            </w:tcMar>
            <w:vAlign w:val="center"/>
          </w:tcPr>
          <w:p>
            <w:pPr>
              <w:spacing w:after="0" w:line="252" w:lineRule="auto"/>
              <w:jc w:val="left"/>
            </w:pPr>
            <w:r>
              <w:rPr>
                <w:rFonts w:ascii="Calibri" w:hAnsi="Calibri"/>
                <w:color w:val="202124"/>
                <w:sz w:val="17"/>
              </w:rPr>
              <w:t>1. Co-design</w:t>
            </w:r>
          </w:p>
        </w:tc>
        <w:tc>
          <w:tcPr>
            <w:tcW w:type="dxa" w:w="1300"/>
            <w:tcMar>
              <w:top w:w="90" w:type="dxa"/>
              <w:start w:w="120" w:type="dxa"/>
              <w:bottom w:w="90" w:type="dxa"/>
              <w:end w:w="120" w:type="dxa"/>
            </w:tcMar>
            <w:vAlign w:val="center"/>
          </w:tcPr>
          <w:p>
            <w:pPr>
              <w:spacing w:after="0" w:line="252" w:lineRule="auto"/>
              <w:jc w:val="left"/>
            </w:pPr>
            <w:r>
              <w:rPr>
                <w:rFonts w:ascii="Calibri" w:hAnsi="Calibri"/>
                <w:color w:val="202124"/>
                <w:sz w:val="17"/>
              </w:rPr>
              <w:t>Weeks 1–2</w:t>
            </w:r>
          </w:p>
        </w:tc>
        <w:tc>
          <w:tcPr>
            <w:tcW w:type="dxa" w:w="4660"/>
            <w:tcMar>
              <w:top w:w="90" w:type="dxa"/>
              <w:start w:w="120" w:type="dxa"/>
              <w:bottom w:w="90" w:type="dxa"/>
              <w:end w:w="120" w:type="dxa"/>
            </w:tcMar>
            <w:vAlign w:val="center"/>
          </w:tcPr>
          <w:p>
            <w:pPr>
              <w:spacing w:after="0" w:line="252" w:lineRule="auto"/>
              <w:jc w:val="left"/>
            </w:pPr>
            <w:r>
              <w:rPr>
                <w:rFonts w:ascii="Calibri" w:hAnsi="Calibri"/>
                <w:color w:val="202124"/>
                <w:sz w:val="17"/>
              </w:rPr>
              <w:t>Confirm scope, departments, participants, focal persons, policies and indicators.</w:t>
            </w:r>
          </w:p>
        </w:tc>
        <w:tc>
          <w:tcPr>
            <w:tcW w:type="dxa" w:w="2451"/>
            <w:tcMar>
              <w:top w:w="90" w:type="dxa"/>
              <w:start w:w="120" w:type="dxa"/>
              <w:bottom w:w="90" w:type="dxa"/>
              <w:end w:w="120" w:type="dxa"/>
            </w:tcMar>
            <w:vAlign w:val="center"/>
          </w:tcPr>
          <w:p>
            <w:pPr>
              <w:spacing w:after="0" w:line="252" w:lineRule="auto"/>
              <w:jc w:val="left"/>
            </w:pPr>
            <w:r>
              <w:rPr>
                <w:rFonts w:ascii="Calibri" w:hAnsi="Calibri"/>
                <w:color w:val="202124"/>
                <w:sz w:val="17"/>
              </w:rPr>
              <w:t>Approved implementation schedule.</w:t>
            </w:r>
          </w:p>
        </w:tc>
      </w:tr>
      <w:tr>
        <w:trPr>
          <w:cantSplit/>
        </w:trPr>
        <w:tc>
          <w:tcPr>
            <w:tcW w:type="dxa" w:w="105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2. Configuration</w:t>
            </w:r>
          </w:p>
        </w:tc>
        <w:tc>
          <w:tcPr>
            <w:tcW w:type="dxa" w:w="130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Weeks 2–3</w:t>
            </w:r>
          </w:p>
        </w:tc>
        <w:tc>
          <w:tcPr>
            <w:tcW w:type="dxa" w:w="466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Verify roles, configure institutional workspace and prepare learning/support pathways.</w:t>
            </w:r>
          </w:p>
        </w:tc>
        <w:tc>
          <w:tcPr>
            <w:tcW w:type="dxa" w:w="2451"/>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Pilot-ready environment.</w:t>
            </w:r>
          </w:p>
        </w:tc>
      </w:tr>
      <w:tr>
        <w:trPr>
          <w:cantSplit/>
        </w:trPr>
        <w:tc>
          <w:tcPr>
            <w:tcW w:type="dxa" w:w="1050"/>
            <w:tcMar>
              <w:top w:w="90" w:type="dxa"/>
              <w:start w:w="120" w:type="dxa"/>
              <w:bottom w:w="90" w:type="dxa"/>
              <w:end w:w="120" w:type="dxa"/>
            </w:tcMar>
            <w:vAlign w:val="center"/>
          </w:tcPr>
          <w:p>
            <w:pPr>
              <w:spacing w:after="0" w:line="252" w:lineRule="auto"/>
              <w:jc w:val="left"/>
            </w:pPr>
            <w:r>
              <w:rPr>
                <w:rFonts w:ascii="Calibri" w:hAnsi="Calibri"/>
                <w:color w:val="202124"/>
                <w:sz w:val="17"/>
              </w:rPr>
              <w:t>3. Onboarding</w:t>
            </w:r>
          </w:p>
        </w:tc>
        <w:tc>
          <w:tcPr>
            <w:tcW w:type="dxa" w:w="1300"/>
            <w:tcMar>
              <w:top w:w="90" w:type="dxa"/>
              <w:start w:w="120" w:type="dxa"/>
              <w:bottom w:w="90" w:type="dxa"/>
              <w:end w:w="120" w:type="dxa"/>
            </w:tcMar>
            <w:vAlign w:val="center"/>
          </w:tcPr>
          <w:p>
            <w:pPr>
              <w:spacing w:after="0" w:line="252" w:lineRule="auto"/>
              <w:jc w:val="left"/>
            </w:pPr>
            <w:r>
              <w:rPr>
                <w:rFonts w:ascii="Calibri" w:hAnsi="Calibri"/>
                <w:color w:val="202124"/>
                <w:sz w:val="17"/>
              </w:rPr>
              <w:t>Weeks 3–4</w:t>
            </w:r>
          </w:p>
        </w:tc>
        <w:tc>
          <w:tcPr>
            <w:tcW w:type="dxa" w:w="4660"/>
            <w:tcMar>
              <w:top w:w="90" w:type="dxa"/>
              <w:start w:w="120" w:type="dxa"/>
              <w:bottom w:w="90" w:type="dxa"/>
              <w:end w:w="120" w:type="dxa"/>
            </w:tcMar>
            <w:vAlign w:val="center"/>
          </w:tcPr>
          <w:p>
            <w:pPr>
              <w:spacing w:after="0" w:line="252" w:lineRule="auto"/>
              <w:jc w:val="left"/>
            </w:pPr>
            <w:r>
              <w:rPr>
                <w:rFonts w:ascii="Calibri" w:hAnsi="Calibri"/>
                <w:color w:val="202124"/>
                <w:sz w:val="17"/>
              </w:rPr>
              <w:t>Orient administrator, lecturers, reviewers and students; test access and confidentiality.</w:t>
            </w:r>
          </w:p>
        </w:tc>
        <w:tc>
          <w:tcPr>
            <w:tcW w:type="dxa" w:w="2451"/>
            <w:tcMar>
              <w:top w:w="90" w:type="dxa"/>
              <w:start w:w="120" w:type="dxa"/>
              <w:bottom w:w="90" w:type="dxa"/>
              <w:end w:w="120" w:type="dxa"/>
            </w:tcMar>
            <w:vAlign w:val="center"/>
          </w:tcPr>
          <w:p>
            <w:pPr>
              <w:spacing w:after="0" w:line="252" w:lineRule="auto"/>
              <w:jc w:val="left"/>
            </w:pPr>
            <w:r>
              <w:rPr>
                <w:rFonts w:ascii="Calibri" w:hAnsi="Calibri"/>
                <w:color w:val="202124"/>
                <w:sz w:val="17"/>
              </w:rPr>
              <w:t>Activated participants.</w:t>
            </w:r>
          </w:p>
        </w:tc>
      </w:tr>
      <w:tr>
        <w:trPr>
          <w:cantSplit/>
        </w:trPr>
        <w:tc>
          <w:tcPr>
            <w:tcW w:type="dxa" w:w="105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4. Live pilot</w:t>
            </w:r>
          </w:p>
        </w:tc>
        <w:tc>
          <w:tcPr>
            <w:tcW w:type="dxa" w:w="130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Months 2–5</w:t>
            </w:r>
          </w:p>
        </w:tc>
        <w:tc>
          <w:tcPr>
            <w:tcW w:type="dxa" w:w="466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Run the agreed research journey; monitor support, reviews, revisions and user experience.</w:t>
            </w:r>
          </w:p>
        </w:tc>
        <w:tc>
          <w:tcPr>
            <w:tcW w:type="dxa" w:w="2451"/>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Operational evidence and approved outputs.</w:t>
            </w:r>
          </w:p>
        </w:tc>
      </w:tr>
      <w:tr>
        <w:trPr>
          <w:cantSplit/>
        </w:trPr>
        <w:tc>
          <w:tcPr>
            <w:tcW w:type="dxa" w:w="1050"/>
            <w:tcMar>
              <w:top w:w="90" w:type="dxa"/>
              <w:start w:w="120" w:type="dxa"/>
              <w:bottom w:w="90" w:type="dxa"/>
              <w:end w:w="120" w:type="dxa"/>
            </w:tcMar>
            <w:vAlign w:val="center"/>
          </w:tcPr>
          <w:p>
            <w:pPr>
              <w:spacing w:after="0" w:line="252" w:lineRule="auto"/>
              <w:jc w:val="left"/>
            </w:pPr>
            <w:r>
              <w:rPr>
                <w:rFonts w:ascii="Calibri" w:hAnsi="Calibri"/>
                <w:color w:val="202124"/>
                <w:sz w:val="17"/>
              </w:rPr>
              <w:t>5. Evaluation</w:t>
            </w:r>
          </w:p>
        </w:tc>
        <w:tc>
          <w:tcPr>
            <w:tcW w:type="dxa" w:w="1300"/>
            <w:tcMar>
              <w:top w:w="90" w:type="dxa"/>
              <w:start w:w="120" w:type="dxa"/>
              <w:bottom w:w="90" w:type="dxa"/>
              <w:end w:w="120" w:type="dxa"/>
            </w:tcMar>
            <w:vAlign w:val="center"/>
          </w:tcPr>
          <w:p>
            <w:pPr>
              <w:spacing w:after="0" w:line="252" w:lineRule="auto"/>
              <w:jc w:val="left"/>
            </w:pPr>
            <w:r>
              <w:rPr>
                <w:rFonts w:ascii="Calibri" w:hAnsi="Calibri"/>
                <w:color w:val="202124"/>
                <w:sz w:val="17"/>
              </w:rPr>
              <w:t>Final month</w:t>
            </w:r>
          </w:p>
        </w:tc>
        <w:tc>
          <w:tcPr>
            <w:tcW w:type="dxa" w:w="4660"/>
            <w:tcMar>
              <w:top w:w="90" w:type="dxa"/>
              <w:start w:w="120" w:type="dxa"/>
              <w:bottom w:w="90" w:type="dxa"/>
              <w:end w:w="120" w:type="dxa"/>
            </w:tcMar>
            <w:vAlign w:val="center"/>
          </w:tcPr>
          <w:p>
            <w:pPr>
              <w:spacing w:after="0" w:line="252" w:lineRule="auto"/>
              <w:jc w:val="left"/>
            </w:pPr>
            <w:r>
              <w:rPr>
                <w:rFonts w:ascii="Calibri" w:hAnsi="Calibri"/>
                <w:color w:val="202124"/>
                <w:sz w:val="17"/>
              </w:rPr>
              <w:t>Analyse indicators, feedback, risks and lessons; agree improvements and scaling decision.</w:t>
            </w:r>
          </w:p>
        </w:tc>
        <w:tc>
          <w:tcPr>
            <w:tcW w:type="dxa" w:w="2451"/>
            <w:tcMar>
              <w:top w:w="90" w:type="dxa"/>
              <w:start w:w="120" w:type="dxa"/>
              <w:bottom w:w="90" w:type="dxa"/>
              <w:end w:w="120" w:type="dxa"/>
            </w:tcMar>
            <w:vAlign w:val="center"/>
          </w:tcPr>
          <w:p>
            <w:pPr>
              <w:spacing w:after="0" w:line="252" w:lineRule="auto"/>
              <w:jc w:val="left"/>
            </w:pPr>
            <w:r>
              <w:rPr>
                <w:rFonts w:ascii="Calibri" w:hAnsi="Calibri"/>
                <w:color w:val="202124"/>
                <w:sz w:val="17"/>
              </w:rPr>
              <w:t>Joint pilot report and recommendation.</w:t>
            </w:r>
          </w:p>
        </w:tc>
      </w:tr>
    </w:tbl>
    <w:p>
      <w:pPr>
        <w:widowControl/>
        <w:spacing w:after="0"/>
      </w:pPr>
    </w:p>
    <w:p>
      <w:pPr>
        <w:pStyle w:val="Heading1"/>
        <w:widowControl/>
      </w:pPr>
      <w:r>
        <w:t>8. Responsibilities of the Parties</w:t>
      </w:r>
    </w:p>
    <w:p>
      <w:pPr>
        <w:pStyle w:val="Heading2"/>
        <w:widowControl/>
      </w:pPr>
      <w:r>
        <w:t>8.1 ResearchBridge Africa Will</w:t>
      </w:r>
    </w:p>
    <w:p>
      <w:pPr>
        <w:pStyle w:val="ListBullet"/>
        <w:widowControl/>
        <w:spacing w:after="80" w:line="290" w:lineRule="auto"/>
        <w:ind w:left="540" w:hanging="279"/>
      </w:pPr>
      <w:r>
        <w:t>Provide access to the agreed platform modules and protected institutional workspace.</w:t>
      </w:r>
    </w:p>
    <w:p>
      <w:pPr>
        <w:pStyle w:val="ListBullet"/>
        <w:widowControl/>
        <w:spacing w:after="80" w:line="290" w:lineRule="auto"/>
        <w:ind w:left="540" w:hanging="279"/>
      </w:pPr>
      <w:r>
        <w:t>Configure roles and institutional boundaries in accordance with the approved pilot schedule.</w:t>
      </w:r>
    </w:p>
    <w:p>
      <w:pPr>
        <w:pStyle w:val="ListBullet"/>
        <w:widowControl/>
        <w:spacing w:after="80" w:line="290" w:lineRule="auto"/>
        <w:ind w:left="540" w:hanging="279"/>
      </w:pPr>
      <w:r>
        <w:t>Provide onboarding materials and reasonable technical support during the pilot.</w:t>
      </w:r>
    </w:p>
    <w:p>
      <w:pPr>
        <w:pStyle w:val="ListBullet"/>
        <w:widowControl/>
        <w:spacing w:after="80" w:line="290" w:lineRule="auto"/>
        <w:ind w:left="540" w:hanging="279"/>
      </w:pPr>
      <w:r>
        <w:t>Administer the platform’s workflow, confidentiality controls, audit records and service processes.</w:t>
      </w:r>
    </w:p>
    <w:p>
      <w:pPr>
        <w:pStyle w:val="ListBullet"/>
        <w:widowControl/>
        <w:spacing w:after="80" w:line="290" w:lineRule="auto"/>
        <w:ind w:left="540" w:hanging="279"/>
      </w:pPr>
      <w:r>
        <w:t>Protect private manuscripts, reviewer information and user data in accordance with published policies and agreed safeguards.</w:t>
      </w:r>
    </w:p>
    <w:p>
      <w:pPr>
        <w:pStyle w:val="ListBullet"/>
        <w:widowControl/>
        <w:spacing w:after="80" w:line="290" w:lineRule="auto"/>
        <w:ind w:left="540" w:hanging="279"/>
      </w:pPr>
      <w:r>
        <w:t>Provide agreed aggregate reports and participate in periodic pilot review meetings.</w:t>
      </w:r>
    </w:p>
    <w:p>
      <w:pPr>
        <w:pStyle w:val="ListBullet"/>
        <w:widowControl/>
        <w:spacing w:after="80" w:line="290" w:lineRule="auto"/>
        <w:ind w:left="540" w:hanging="279"/>
      </w:pPr>
      <w:r>
        <w:t>Correct confirmed defects and document significant changes affecting the pilot.</w:t>
      </w:r>
    </w:p>
    <w:p>
      <w:pPr>
        <w:pStyle w:val="Heading2"/>
        <w:widowControl/>
      </w:pPr>
      <w:r>
        <w:t>8.2 The Partner Institution Will</w:t>
      </w:r>
    </w:p>
    <w:p>
      <w:pPr>
        <w:pStyle w:val="ListBullet"/>
        <w:widowControl/>
        <w:spacing w:after="80" w:line="290" w:lineRule="auto"/>
        <w:ind w:left="540" w:hanging="279"/>
      </w:pPr>
      <w:r>
        <w:t>Obtain the internal approvals required to participate and nominate an authorised focal person.</w:t>
      </w:r>
    </w:p>
    <w:p>
      <w:pPr>
        <w:pStyle w:val="ListBullet"/>
        <w:widowControl/>
        <w:spacing w:after="80" w:line="290" w:lineRule="auto"/>
        <w:ind w:left="540" w:hanging="279"/>
      </w:pPr>
      <w:r>
        <w:t>Identify eligible participants and verify institutional affiliation and professional credentials.</w:t>
      </w:r>
    </w:p>
    <w:p>
      <w:pPr>
        <w:pStyle w:val="ListBullet"/>
        <w:widowControl/>
        <w:spacing w:after="80" w:line="290" w:lineRule="auto"/>
        <w:ind w:left="540" w:hanging="279"/>
      </w:pPr>
      <w:r>
        <w:t>Communicate that participation does not replace institutional supervision, ethics approval or academic regulations.</w:t>
      </w:r>
    </w:p>
    <w:p>
      <w:pPr>
        <w:pStyle w:val="ListBullet"/>
        <w:widowControl/>
        <w:spacing w:after="80" w:line="290" w:lineRule="auto"/>
        <w:ind w:left="540" w:hanging="279"/>
      </w:pPr>
      <w:r>
        <w:t>Support participant orientation, appropriate conduct and timely response to pilot feedback.</w:t>
      </w:r>
    </w:p>
    <w:p>
      <w:pPr>
        <w:pStyle w:val="ListBullet"/>
        <w:widowControl/>
        <w:spacing w:after="80" w:line="290" w:lineRule="auto"/>
        <w:ind w:left="540" w:hanging="279"/>
      </w:pPr>
      <w:r>
        <w:t>Provide institutional policies or requirements that materially affect the pilot.</w:t>
      </w:r>
    </w:p>
    <w:p>
      <w:pPr>
        <w:pStyle w:val="ListBullet"/>
        <w:widowControl/>
        <w:spacing w:after="80" w:line="290" w:lineRule="auto"/>
        <w:ind w:left="540" w:hanging="279"/>
      </w:pPr>
      <w:r>
        <w:t>Avoid granting platform access to unauthorised persons or using institutional reports for unrelated purposes.</w:t>
      </w:r>
    </w:p>
    <w:p>
      <w:pPr>
        <w:pStyle w:val="ListBullet"/>
        <w:widowControl/>
        <w:spacing w:after="80" w:line="290" w:lineRule="auto"/>
        <w:ind w:left="540" w:hanging="279"/>
      </w:pPr>
      <w:r>
        <w:t>Participate in monitoring, evaluation and decisions on continuation or scaling.</w:t>
      </w:r>
    </w:p>
    <w:p>
      <w:pPr>
        <w:pStyle w:val="Heading2"/>
        <w:widowControl/>
      </w:pPr>
      <w:r>
        <w:t>8.3 Shared Responsibilities</w:t>
      </w:r>
    </w:p>
    <w:p>
      <w:pPr>
        <w:pStyle w:val="ListBullet"/>
        <w:widowControl/>
        <w:spacing w:after="80" w:line="290" w:lineRule="auto"/>
        <w:ind w:left="540" w:hanging="279"/>
      </w:pPr>
      <w:r>
        <w:t>Agree the pilot scope, indicators, communication channels and escalation contacts.</w:t>
      </w:r>
    </w:p>
    <w:p>
      <w:pPr>
        <w:pStyle w:val="ListBullet"/>
        <w:widowControl/>
        <w:spacing w:after="80" w:line="290" w:lineRule="auto"/>
        <w:ind w:left="540" w:hanging="279"/>
      </w:pPr>
      <w:r>
        <w:t>Promote academic integrity, non-discrimination, confidentiality and constructive scholarly engagement.</w:t>
      </w:r>
    </w:p>
    <w:p>
      <w:pPr>
        <w:pStyle w:val="ListBullet"/>
        <w:widowControl/>
        <w:spacing w:after="80" w:line="290" w:lineRule="auto"/>
        <w:ind w:left="540" w:hanging="279"/>
      </w:pPr>
      <w:r>
        <w:t>Address complaints, conflicts of interest, data incidents and participant concerns promptly.</w:t>
      </w:r>
    </w:p>
    <w:p>
      <w:pPr>
        <w:pStyle w:val="ListBullet"/>
        <w:widowControl/>
        <w:spacing w:after="80" w:line="290" w:lineRule="auto"/>
        <w:ind w:left="540" w:hanging="279"/>
      </w:pPr>
      <w:r>
        <w:t>Approve any public use of names, logos, pilot findings or partnership claims before publication.</w:t>
      </w:r>
    </w:p>
    <w:p>
      <w:pPr>
        <w:pStyle w:val="Heading1"/>
        <w:widowControl/>
      </w:pPr>
      <w:r>
        <w:t>9. Academic Integrity and Quality Assurance</w:t>
      </w:r>
    </w:p>
    <w:p>
      <w:pPr>
        <w:widowControl/>
      </w:pPr>
      <w:r>
        <w:rPr>
          <w:i w:val="0"/>
        </w:rPr>
        <w:t>ResearchBridge Africa is designed to develop researchers, not to produce assessed work secretly on their behalf. Users remain responsible for genuine authorship, ethical approval, informed consent where applicable, accurate reporting and compliance with institutional rules.</w:t>
      </w:r>
    </w:p>
    <w:tbl>
      <w:tblPr>
        <w:tblW w:type="dxa" w:w="9461"/>
        <w:jc w:val="center"/>
        <w:tblLayout w:type="fixed"/>
        <w:tblLook w:firstColumn="1" w:firstRow="1" w:lastColumn="0" w:lastRow="0" w:noHBand="0" w:noVBand="1" w:val="04A0"/>
        <w:tblBorders>
          <w:top w:val="single" w:sz="5" w:color="D6DEE5"/>
          <w:left w:val="single" w:sz="5" w:color="D6DEE5"/>
          <w:bottom w:val="single" w:sz="5" w:color="D6DEE5"/>
          <w:right w:val="single" w:sz="5" w:color="D6DEE5"/>
          <w:insideH w:val="single" w:sz="5" w:color="D6DEE5"/>
          <w:insideV w:val="single" w:sz="5" w:color="D6DEE5"/>
        </w:tblBorders>
        <w:tblInd w:type="dxa" w:w="120"/>
      </w:tblPr>
      <w:tblGrid>
        <w:gridCol w:w="2300"/>
        <w:gridCol w:w="7161"/>
      </w:tblGrid>
      <w:tr>
        <w:trPr>
          <w:tblHeader w:val="true"/>
          <w:cantSplit/>
        </w:trPr>
        <w:tc>
          <w:tcPr>
            <w:tcW w:type="dxa" w:w="2300"/>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7"/>
              </w:rPr>
              <w:t>Safeguard</w:t>
            </w:r>
          </w:p>
        </w:tc>
        <w:tc>
          <w:tcPr>
            <w:tcW w:type="dxa" w:w="7161"/>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7"/>
              </w:rPr>
              <w:t>Proposed Application</w:t>
            </w:r>
          </w:p>
        </w:tc>
      </w:tr>
      <w:tr>
        <w:trPr>
          <w:cantSplit/>
        </w:trPr>
        <w:tc>
          <w:tcPr>
            <w:tcW w:type="dxa" w:w="2300"/>
            <w:tcMar>
              <w:top w:w="90" w:type="dxa"/>
              <w:start w:w="120" w:type="dxa"/>
              <w:bottom w:w="90" w:type="dxa"/>
              <w:end w:w="120" w:type="dxa"/>
            </w:tcMar>
            <w:vAlign w:val="center"/>
          </w:tcPr>
          <w:p>
            <w:pPr>
              <w:spacing w:after="0" w:line="252" w:lineRule="auto"/>
              <w:jc w:val="left"/>
            </w:pPr>
            <w:r>
              <w:rPr>
                <w:rFonts w:ascii="Calibri" w:hAnsi="Calibri"/>
                <w:color w:val="202124"/>
                <w:sz w:val="17"/>
              </w:rPr>
              <w:t>Authorship</w:t>
            </w:r>
          </w:p>
        </w:tc>
        <w:tc>
          <w:tcPr>
            <w:tcW w:type="dxa" w:w="7161"/>
            <w:tcMar>
              <w:top w:w="90" w:type="dxa"/>
              <w:start w:w="120" w:type="dxa"/>
              <w:bottom w:w="90" w:type="dxa"/>
              <w:end w:w="120" w:type="dxa"/>
            </w:tcMar>
            <w:vAlign w:val="center"/>
          </w:tcPr>
          <w:p>
            <w:pPr>
              <w:spacing w:after="0" w:line="252" w:lineRule="auto"/>
              <w:jc w:val="left"/>
            </w:pPr>
            <w:r>
              <w:rPr>
                <w:rFonts w:ascii="Calibri" w:hAnsi="Calibri"/>
                <w:color w:val="202124"/>
                <w:sz w:val="17"/>
              </w:rPr>
              <w:t>The researcher remains the author and must disclose assistance as required by institutional or publication rules.</w:t>
            </w:r>
          </w:p>
        </w:tc>
      </w:tr>
      <w:tr>
        <w:trPr>
          <w:cantSplit/>
        </w:trPr>
        <w:tc>
          <w:tcPr>
            <w:tcW w:type="dxa" w:w="230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Automated suggestions</w:t>
            </w:r>
          </w:p>
        </w:tc>
        <w:tc>
          <w:tcPr>
            <w:tcW w:type="dxa" w:w="7161"/>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Topic and writing suggestions are developmental guidance and require human academic judgment.</w:t>
            </w:r>
          </w:p>
        </w:tc>
      </w:tr>
      <w:tr>
        <w:trPr>
          <w:cantSplit/>
        </w:trPr>
        <w:tc>
          <w:tcPr>
            <w:tcW w:type="dxa" w:w="2300"/>
            <w:tcMar>
              <w:top w:w="90" w:type="dxa"/>
              <w:start w:w="120" w:type="dxa"/>
              <w:bottom w:w="90" w:type="dxa"/>
              <w:end w:w="120" w:type="dxa"/>
            </w:tcMar>
            <w:vAlign w:val="center"/>
          </w:tcPr>
          <w:p>
            <w:pPr>
              <w:spacing w:after="0" w:line="252" w:lineRule="auto"/>
              <w:jc w:val="left"/>
            </w:pPr>
            <w:r>
              <w:rPr>
                <w:rFonts w:ascii="Calibri" w:hAnsi="Calibri"/>
                <w:color w:val="202124"/>
                <w:sz w:val="17"/>
              </w:rPr>
              <w:t>Support services</w:t>
            </w:r>
          </w:p>
        </w:tc>
        <w:tc>
          <w:tcPr>
            <w:tcW w:type="dxa" w:w="7161"/>
            <w:tcMar>
              <w:top w:w="90" w:type="dxa"/>
              <w:start w:w="120" w:type="dxa"/>
              <w:bottom w:w="90" w:type="dxa"/>
              <w:end w:w="120" w:type="dxa"/>
            </w:tcMar>
            <w:vAlign w:val="center"/>
          </w:tcPr>
          <w:p>
            <w:pPr>
              <w:spacing w:after="0" w:line="252" w:lineRule="auto"/>
              <w:jc w:val="left"/>
            </w:pPr>
            <w:r>
              <w:rPr>
                <w:rFonts w:ascii="Calibri" w:hAnsi="Calibri"/>
                <w:color w:val="202124"/>
                <w:sz w:val="17"/>
              </w:rPr>
              <w:t>Editing, methodology and data-analysis assistance must improve the user’s work and capacity; contract cheating, fabrication and impersonation are prohibited.</w:t>
            </w:r>
          </w:p>
        </w:tc>
      </w:tr>
      <w:tr>
        <w:trPr>
          <w:cantSplit/>
        </w:trPr>
        <w:tc>
          <w:tcPr>
            <w:tcW w:type="dxa" w:w="230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Editorial screening</w:t>
            </w:r>
          </w:p>
        </w:tc>
        <w:tc>
          <w:tcPr>
            <w:tcW w:type="dxa" w:w="7161"/>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Submissions may be checked for scope, completeness, integrity concerns and readiness before review.</w:t>
            </w:r>
          </w:p>
        </w:tc>
      </w:tr>
      <w:tr>
        <w:trPr>
          <w:cantSplit/>
        </w:trPr>
        <w:tc>
          <w:tcPr>
            <w:tcW w:type="dxa" w:w="2300"/>
            <w:tcMar>
              <w:top w:w="90" w:type="dxa"/>
              <w:start w:w="120" w:type="dxa"/>
              <w:bottom w:w="90" w:type="dxa"/>
              <w:end w:w="120" w:type="dxa"/>
            </w:tcMar>
            <w:vAlign w:val="center"/>
          </w:tcPr>
          <w:p>
            <w:pPr>
              <w:spacing w:after="0" w:line="252" w:lineRule="auto"/>
              <w:jc w:val="left"/>
            </w:pPr>
            <w:r>
              <w:rPr>
                <w:rFonts w:ascii="Calibri" w:hAnsi="Calibri"/>
                <w:color w:val="202124"/>
                <w:sz w:val="17"/>
              </w:rPr>
              <w:t>Peer review</w:t>
            </w:r>
          </w:p>
        </w:tc>
        <w:tc>
          <w:tcPr>
            <w:tcW w:type="dxa" w:w="7161"/>
            <w:tcMar>
              <w:top w:w="90" w:type="dxa"/>
              <w:start w:w="120" w:type="dxa"/>
              <w:bottom w:w="90" w:type="dxa"/>
              <w:end w:w="120" w:type="dxa"/>
            </w:tcMar>
            <w:vAlign w:val="center"/>
          </w:tcPr>
          <w:p>
            <w:pPr>
              <w:spacing w:after="0" w:line="252" w:lineRule="auto"/>
              <w:jc w:val="left"/>
            </w:pPr>
            <w:r>
              <w:rPr>
                <w:rFonts w:ascii="Calibri" w:hAnsi="Calibri"/>
                <w:color w:val="202124"/>
                <w:sz w:val="17"/>
              </w:rPr>
              <w:t>Reviewers follow confidentiality, competence, timeliness, conflict-of-interest and respectful-feedback standards.</w:t>
            </w:r>
          </w:p>
        </w:tc>
      </w:tr>
      <w:tr>
        <w:trPr>
          <w:cantSplit/>
        </w:trPr>
        <w:tc>
          <w:tcPr>
            <w:tcW w:type="dxa" w:w="230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Corrections and withdrawal</w:t>
            </w:r>
          </w:p>
        </w:tc>
        <w:tc>
          <w:tcPr>
            <w:tcW w:type="dxa" w:w="7161"/>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Published records may be corrected, withdrawn or retained with an appropriate notice according to policy and the publication circumstances.</w:t>
            </w:r>
          </w:p>
        </w:tc>
      </w:tr>
      <w:tr>
        <w:trPr>
          <w:cantSplit/>
        </w:trPr>
        <w:tc>
          <w:tcPr>
            <w:tcW w:type="dxa" w:w="2300"/>
            <w:tcMar>
              <w:top w:w="90" w:type="dxa"/>
              <w:start w:w="120" w:type="dxa"/>
              <w:bottom w:w="90" w:type="dxa"/>
              <w:end w:w="120" w:type="dxa"/>
            </w:tcMar>
            <w:vAlign w:val="center"/>
          </w:tcPr>
          <w:p>
            <w:pPr>
              <w:spacing w:after="0" w:line="252" w:lineRule="auto"/>
              <w:jc w:val="left"/>
            </w:pPr>
            <w:r>
              <w:rPr>
                <w:rFonts w:ascii="Calibri" w:hAnsi="Calibri"/>
                <w:color w:val="202124"/>
                <w:sz w:val="17"/>
              </w:rPr>
              <w:t>Complaints and appeals</w:t>
            </w:r>
          </w:p>
        </w:tc>
        <w:tc>
          <w:tcPr>
            <w:tcW w:type="dxa" w:w="7161"/>
            <w:tcMar>
              <w:top w:w="90" w:type="dxa"/>
              <w:start w:w="120" w:type="dxa"/>
              <w:bottom w:w="90" w:type="dxa"/>
              <w:end w:w="120" w:type="dxa"/>
            </w:tcMar>
            <w:vAlign w:val="center"/>
          </w:tcPr>
          <w:p>
            <w:pPr>
              <w:spacing w:after="0" w:line="252" w:lineRule="auto"/>
              <w:jc w:val="left"/>
            </w:pPr>
            <w:r>
              <w:rPr>
                <w:rFonts w:ascii="Calibri" w:hAnsi="Calibri"/>
                <w:color w:val="202124"/>
                <w:sz w:val="17"/>
              </w:rPr>
              <w:t>Users receive documented routes for raising concerns about service, conduct and decisions.</w:t>
            </w:r>
          </w:p>
        </w:tc>
      </w:tr>
    </w:tbl>
    <w:p>
      <w:pPr>
        <w:widowControl/>
        <w:spacing w:after="0"/>
      </w:pPr>
    </w:p>
    <w:p>
      <w:pPr>
        <w:pStyle w:val="Heading1"/>
        <w:widowControl/>
      </w:pPr>
      <w:r>
        <w:t>10. Data Protection, Confidentiality and Access</w:t>
      </w:r>
    </w:p>
    <w:p>
      <w:pPr>
        <w:widowControl/>
      </w:pPr>
      <w:r>
        <w:rPr>
          <w:i w:val="0"/>
        </w:rPr>
        <w:t>The partnership will follow principles of purpose limitation, data minimisation, role-based access and proportionate retention. Detailed arrangements should be aligned with applicable law and the institution’s approved policies before the pilot begins.</w:t>
      </w:r>
    </w:p>
    <w:p>
      <w:pPr>
        <w:pStyle w:val="ListBullet"/>
        <w:widowControl/>
        <w:spacing w:after="80" w:line="290" w:lineRule="auto"/>
        <w:ind w:left="540" w:hanging="279"/>
      </w:pPr>
      <w:r>
        <w:t>Uploads remain private unless the author and authorised process permit wider access.</w:t>
      </w:r>
    </w:p>
    <w:p>
      <w:pPr>
        <w:pStyle w:val="ListBullet"/>
        <w:widowControl/>
        <w:spacing w:after="80" w:line="290" w:lineRule="auto"/>
        <w:ind w:left="540" w:hanging="279"/>
      </w:pPr>
      <w:r>
        <w:t>Reviewer identities and confidential reports are not available to institutional administrators.</w:t>
      </w:r>
    </w:p>
    <w:p>
      <w:pPr>
        <w:pStyle w:val="ListBullet"/>
        <w:widowControl/>
        <w:spacing w:after="80" w:line="290" w:lineRule="auto"/>
        <w:ind w:left="540" w:hanging="279"/>
      </w:pPr>
      <w:r>
        <w:t>Institutional administrators are restricted to the institution assigned to their accounts.</w:t>
      </w:r>
    </w:p>
    <w:p>
      <w:pPr>
        <w:pStyle w:val="ListBullet"/>
        <w:widowControl/>
        <w:spacing w:after="80" w:line="290" w:lineRule="auto"/>
        <w:ind w:left="540" w:hanging="279"/>
      </w:pPr>
      <w:r>
        <w:t>Payment credentials, Mobile Money PINs, card details and one-time passwords are not stored by ResearchBridge Africa; gateway providers handle the payment interface.</w:t>
      </w:r>
    </w:p>
    <w:p>
      <w:pPr>
        <w:pStyle w:val="ListBullet"/>
        <w:widowControl/>
        <w:spacing w:after="80" w:line="290" w:lineRule="auto"/>
        <w:ind w:left="540" w:hanging="279"/>
      </w:pPr>
      <w:r>
        <w:t>Institutional reports should use aggregate or appropriately limited information unless a lawful and agreed basis supports identifiable data.</w:t>
      </w:r>
    </w:p>
    <w:p>
      <w:pPr>
        <w:pStyle w:val="ListBullet"/>
        <w:widowControl/>
        <w:spacing w:after="80" w:line="290" w:lineRule="auto"/>
        <w:ind w:left="540" w:hanging="279"/>
      </w:pPr>
      <w:r>
        <w:t>Suspected unauthorised access, disclosure or misuse must be reported and investigated through agreed escalation procedures.</w:t>
      </w:r>
    </w:p>
    <w:tbl>
      <w:tblPr>
        <w:tblW w:type="dxa" w:w="9461"/>
        <w:jc w:val="center"/>
        <w:tblLayout w:type="fixed"/>
        <w:tblLook w:firstColumn="1" w:firstRow="1" w:lastColumn="0" w:lastRow="0" w:noHBand="0" w:noVBand="1" w:val="04A0"/>
        <w:tblInd w:type="dxa" w:w="120"/>
        <w:tblBorders>
          <w:top w:val="single" w:sz="2" w:color="EAF4F4"/>
          <w:left w:val="single" w:sz="2" w:color="EAF4F4"/>
          <w:bottom w:val="single" w:sz="2" w:color="EAF4F4"/>
          <w:right w:val="single" w:sz="2" w:color="EAF4F4"/>
          <w:insideH w:val="single" w:sz="2" w:color="EAF4F4"/>
          <w:insideV w:val="single" w:sz="2" w:color="EAF4F4"/>
        </w:tblBorders>
      </w:tblPr>
      <w:tblGrid>
        <w:gridCol w:w="9461"/>
      </w:tblGrid>
      <w:tr>
        <w:trPr>
          <w:cantSplit/>
        </w:trPr>
        <w:tc>
          <w:tcPr>
            <w:tcW w:type="dxa" w:w="9461"/>
            <w:vAlign w:val="center"/>
            <w:shd w:fill="EAF4F4"/>
            <w:tcMar>
              <w:top w:w="150" w:type="dxa"/>
              <w:start w:w="190" w:type="dxa"/>
              <w:bottom w:w="150" w:type="dxa"/>
              <w:end w:w="190" w:type="dxa"/>
            </w:tcMar>
          </w:tcPr>
          <w:p>
            <w:pPr>
              <w:spacing w:after="0" w:line="276" w:lineRule="auto"/>
              <w:jc w:val="left"/>
            </w:pPr>
            <w:r>
              <w:rPr>
                <w:rFonts w:ascii="Calibri" w:hAnsi="Calibri"/>
                <w:b/>
                <w:color w:val="17365D"/>
                <w:sz w:val="21"/>
              </w:rPr>
              <w:t xml:space="preserve">Important boundary: </w:t>
            </w:r>
            <w:r>
              <w:rPr>
                <w:rFonts w:ascii="Calibri" w:hAnsi="Calibri"/>
                <w:color w:val="202124"/>
                <w:sz w:val="21"/>
              </w:rPr>
              <w:t>The Institutional Administrator Dashboard is an oversight and affiliation tool. It does not expose private manuscripts, confidential reviewer information, editorial deliberations, payment records or another institution’s data.</w:t>
            </w:r>
          </w:p>
        </w:tc>
      </w:tr>
    </w:tbl>
    <w:p>
      <w:pPr>
        <w:widowControl/>
        <w:spacing w:after="0"/>
      </w:pPr>
    </w:p>
    <w:p>
      <w:pPr>
        <w:pStyle w:val="Heading1"/>
        <w:widowControl/>
      </w:pPr>
      <w:r>
        <w:t>11. Intellectual Property, Copyright and Branding</w:t>
      </w:r>
    </w:p>
    <w:p>
      <w:pPr>
        <w:pStyle w:val="ListBullet"/>
        <w:widowControl/>
        <w:spacing w:after="80" w:line="290" w:lineRule="auto"/>
        <w:ind w:left="540" w:hanging="279"/>
      </w:pPr>
      <w:r>
        <w:t>Authors retain copyright in their original work unless they enter a separate lawful assignment.</w:t>
      </w:r>
    </w:p>
    <w:p>
      <w:pPr>
        <w:pStyle w:val="ListBullet"/>
        <w:widowControl/>
        <w:spacing w:after="80" w:line="290" w:lineRule="auto"/>
        <w:ind w:left="540" w:hanging="279"/>
      </w:pPr>
      <w:r>
        <w:t>Repository publication requires the permission needed to display, preserve and disseminate the approved work.</w:t>
      </w:r>
    </w:p>
    <w:p>
      <w:pPr>
        <w:pStyle w:val="ListBullet"/>
        <w:widowControl/>
        <w:spacing w:after="80" w:line="290" w:lineRule="auto"/>
        <w:ind w:left="540" w:hanging="279"/>
      </w:pPr>
      <w:r>
        <w:t>The institution retains ownership of its names, marks and protected materials.</w:t>
      </w:r>
    </w:p>
    <w:p>
      <w:pPr>
        <w:pStyle w:val="ListBullet"/>
        <w:widowControl/>
        <w:spacing w:after="80" w:line="290" w:lineRule="auto"/>
        <w:ind w:left="540" w:hanging="279"/>
      </w:pPr>
      <w:r>
        <w:t>ResearchBridge Africa retains ownership of its platform, software, branding and original service materials.</w:t>
      </w:r>
    </w:p>
    <w:p>
      <w:pPr>
        <w:pStyle w:val="ListBullet"/>
        <w:widowControl/>
        <w:spacing w:after="80" w:line="290" w:lineRule="auto"/>
        <w:ind w:left="540" w:hanging="279"/>
      </w:pPr>
      <w:r>
        <w:t>Neither party may imply endorsement, accreditation or a concluded partnership beyond the written agreement.</w:t>
      </w:r>
    </w:p>
    <w:p>
      <w:pPr>
        <w:pStyle w:val="ListBullet"/>
        <w:widowControl/>
        <w:spacing w:after="80" w:line="290" w:lineRule="auto"/>
        <w:ind w:left="540" w:hanging="279"/>
      </w:pPr>
      <w:r>
        <w:t>Any co-branded communication, public announcement or use of institutional logos requires prior written approval.</w:t>
      </w:r>
    </w:p>
    <w:p>
      <w:pPr>
        <w:pStyle w:val="Heading1"/>
        <w:widowControl/>
      </w:pPr>
      <w:r>
        <w:t>12. Financial and Resource Arrangements</w:t>
      </w:r>
    </w:p>
    <w:p>
      <w:pPr>
        <w:widowControl/>
      </w:pPr>
      <w:r>
        <w:rPr>
          <w:i w:val="0"/>
        </w:rPr>
        <w:t>This proposal is an invitation to discuss and design a partnership. It does not create a payment obligation. Before implementation, the parties should approve a written schedule addressing any applicable platform access, onboarding, support-service, publication, payment-processing or administrative costs.</w:t>
      </w:r>
    </w:p>
    <w:p>
      <w:pPr>
        <w:widowControl/>
      </w:pPr>
      <w:r>
        <w:rPr>
          <w:i w:val="0"/>
        </w:rPr>
        <w:t>Where individual users request optional paid support, the service scope, quotation, payment status, receipt and balance should be recorded transparently. Institutional sponsorships, waivers, subsidised cohorts or cost-sharing arrangements may be negotiated separately.</w:t>
      </w:r>
    </w:p>
    <w:tbl>
      <w:tblPr>
        <w:tblW w:type="dxa" w:w="9461"/>
        <w:jc w:val="center"/>
        <w:tblLayout w:type="fixed"/>
        <w:tblLook w:firstColumn="1" w:firstRow="1" w:lastColumn="0" w:lastRow="0" w:noHBand="0" w:noVBand="1" w:val="04A0"/>
        <w:tblInd w:type="dxa" w:w="120"/>
        <w:tblBorders>
          <w:top w:val="single" w:sz="2" w:color="EAF2F8"/>
          <w:left w:val="single" w:sz="2" w:color="EAF2F8"/>
          <w:bottom w:val="single" w:sz="2" w:color="EAF2F8"/>
          <w:right w:val="single" w:sz="2" w:color="EAF2F8"/>
          <w:insideH w:val="single" w:sz="2" w:color="EAF2F8"/>
          <w:insideV w:val="single" w:sz="2" w:color="EAF2F8"/>
        </w:tblBorders>
      </w:tblPr>
      <w:tblGrid>
        <w:gridCol w:w="9461"/>
      </w:tblGrid>
      <w:tr>
        <w:trPr>
          <w:cantSplit/>
        </w:trPr>
        <w:tc>
          <w:tcPr>
            <w:tcW w:type="dxa" w:w="9461"/>
            <w:vAlign w:val="center"/>
            <w:shd w:fill="EAF2F8"/>
            <w:tcMar>
              <w:top w:w="150" w:type="dxa"/>
              <w:start w:w="190" w:type="dxa"/>
              <w:bottom w:w="150" w:type="dxa"/>
              <w:end w:w="190" w:type="dxa"/>
            </w:tcMar>
          </w:tcPr>
          <w:p>
            <w:pPr>
              <w:spacing w:after="0" w:line="276" w:lineRule="auto"/>
              <w:jc w:val="left"/>
            </w:pPr>
            <w:r>
              <w:rPr>
                <w:rFonts w:ascii="Calibri" w:hAnsi="Calibri"/>
                <w:b/>
                <w:color w:val="17365D"/>
                <w:sz w:val="21"/>
              </w:rPr>
              <w:t xml:space="preserve">No implied commitment: </w:t>
            </w:r>
            <w:r>
              <w:rPr>
                <w:rFonts w:ascii="Calibri" w:hAnsi="Calibri"/>
                <w:color w:val="202124"/>
                <w:sz w:val="21"/>
              </w:rPr>
              <w:t>No fee, procurement obligation, exclusivity requirement or minimum participant commitment arises unless expressly approved in a signed MOU, contract or implementation schedule.</w:t>
            </w:r>
          </w:p>
        </w:tc>
      </w:tr>
    </w:tbl>
    <w:p>
      <w:pPr>
        <w:widowControl/>
        <w:spacing w:after="0"/>
      </w:pPr>
    </w:p>
    <w:p>
      <w:pPr>
        <w:pStyle w:val="Heading1"/>
        <w:widowControl/>
      </w:pPr>
      <w:r>
        <w:t>13. Monitoring, Evaluation and Learning</w:t>
      </w:r>
    </w:p>
    <w:p>
      <w:pPr>
        <w:widowControl/>
      </w:pPr>
      <w:r>
        <w:rPr>
          <w:i w:val="0"/>
        </w:rPr>
        <w:t>The pilot should be judged on both activity and developmental quality. Baseline expectations and targets will be agreed during co-design.</w:t>
      </w:r>
    </w:p>
    <w:tbl>
      <w:tblPr>
        <w:tblW w:type="dxa" w:w="9461"/>
        <w:jc w:val="center"/>
        <w:tblLayout w:type="fixed"/>
        <w:tblLook w:firstColumn="1" w:firstRow="1" w:lastColumn="0" w:lastRow="0" w:noHBand="0" w:noVBand="1" w:val="04A0"/>
        <w:tblBorders>
          <w:top w:val="single" w:sz="5" w:color="D6DEE5"/>
          <w:left w:val="single" w:sz="5" w:color="D6DEE5"/>
          <w:bottom w:val="single" w:sz="5" w:color="D6DEE5"/>
          <w:right w:val="single" w:sz="5" w:color="D6DEE5"/>
          <w:insideH w:val="single" w:sz="5" w:color="D6DEE5"/>
          <w:insideV w:val="single" w:sz="5" w:color="D6DEE5"/>
        </w:tblBorders>
        <w:tblInd w:type="dxa" w:w="120"/>
      </w:tblPr>
      <w:tblGrid>
        <w:gridCol w:w="2400"/>
        <w:gridCol w:w="7061"/>
      </w:tblGrid>
      <w:tr>
        <w:trPr>
          <w:tblHeader w:val="true"/>
          <w:cantSplit/>
        </w:trPr>
        <w:tc>
          <w:tcPr>
            <w:tcW w:type="dxa" w:w="2400"/>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8"/>
              </w:rPr>
              <w:t>Result Area</w:t>
            </w:r>
          </w:p>
        </w:tc>
        <w:tc>
          <w:tcPr>
            <w:tcW w:type="dxa" w:w="7061"/>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8"/>
              </w:rPr>
              <w:t>Illustrative Indicators</w:t>
            </w:r>
          </w:p>
        </w:tc>
      </w:tr>
      <w:tr>
        <w:trPr>
          <w:cantSplit/>
        </w:trPr>
        <w:tc>
          <w:tcPr>
            <w:tcW w:type="dxa" w:w="2400"/>
            <w:tcMar>
              <w:top w:w="90" w:type="dxa"/>
              <w:start w:w="120" w:type="dxa"/>
              <w:bottom w:w="90" w:type="dxa"/>
              <w:end w:w="120" w:type="dxa"/>
            </w:tcMar>
            <w:vAlign w:val="center"/>
          </w:tcPr>
          <w:p>
            <w:pPr>
              <w:spacing w:after="0" w:line="252" w:lineRule="auto"/>
              <w:jc w:val="left"/>
            </w:pPr>
            <w:r>
              <w:rPr>
                <w:rFonts w:ascii="Calibri" w:hAnsi="Calibri"/>
                <w:color w:val="202124"/>
                <w:sz w:val="18"/>
              </w:rPr>
              <w:t>Participation</w:t>
            </w:r>
          </w:p>
        </w:tc>
        <w:tc>
          <w:tcPr>
            <w:tcW w:type="dxa" w:w="7061"/>
            <w:tcMar>
              <w:top w:w="90" w:type="dxa"/>
              <w:start w:w="120" w:type="dxa"/>
              <w:bottom w:w="90" w:type="dxa"/>
              <w:end w:w="120" w:type="dxa"/>
            </w:tcMar>
            <w:vAlign w:val="center"/>
          </w:tcPr>
          <w:p>
            <w:pPr>
              <w:spacing w:after="0" w:line="252" w:lineRule="auto"/>
              <w:jc w:val="left"/>
            </w:pPr>
            <w:r>
              <w:rPr>
                <w:rFonts w:ascii="Calibri" w:hAnsi="Calibri"/>
                <w:color w:val="202124"/>
                <w:sz w:val="18"/>
              </w:rPr>
              <w:t>Verified users onboarded; active users by role; completion of orientation.</w:t>
            </w:r>
          </w:p>
        </w:tc>
      </w:tr>
      <w:tr>
        <w:trPr>
          <w:cantSplit/>
        </w:trPr>
        <w:tc>
          <w:tcPr>
            <w:tcW w:type="dxa" w:w="24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Topic development</w:t>
            </w:r>
          </w:p>
        </w:tc>
        <w:tc>
          <w:tcPr>
            <w:tcW w:type="dxa" w:w="70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Topics submitted, improved and referred for consultation; proportion meeting agreed clarity criteria.</w:t>
            </w:r>
          </w:p>
        </w:tc>
      </w:tr>
      <w:tr>
        <w:trPr>
          <w:cantSplit/>
        </w:trPr>
        <w:tc>
          <w:tcPr>
            <w:tcW w:type="dxa" w:w="2400"/>
            <w:tcMar>
              <w:top w:w="90" w:type="dxa"/>
              <w:start w:w="120" w:type="dxa"/>
              <w:bottom w:w="90" w:type="dxa"/>
              <w:end w:w="120" w:type="dxa"/>
            </w:tcMar>
            <w:vAlign w:val="center"/>
          </w:tcPr>
          <w:p>
            <w:pPr>
              <w:spacing w:after="0" w:line="252" w:lineRule="auto"/>
              <w:jc w:val="left"/>
            </w:pPr>
            <w:r>
              <w:rPr>
                <w:rFonts w:ascii="Calibri" w:hAnsi="Calibri"/>
                <w:color w:val="202124"/>
                <w:sz w:val="18"/>
              </w:rPr>
              <w:t>Learning</w:t>
            </w:r>
          </w:p>
        </w:tc>
        <w:tc>
          <w:tcPr>
            <w:tcW w:type="dxa" w:w="7061"/>
            <w:tcMar>
              <w:top w:w="90" w:type="dxa"/>
              <w:start w:w="120" w:type="dxa"/>
              <w:bottom w:w="90" w:type="dxa"/>
              <w:end w:w="120" w:type="dxa"/>
            </w:tcMar>
            <w:vAlign w:val="center"/>
          </w:tcPr>
          <w:p>
            <w:pPr>
              <w:spacing w:after="0" w:line="252" w:lineRule="auto"/>
              <w:jc w:val="left"/>
            </w:pPr>
            <w:r>
              <w:rPr>
                <w:rFonts w:ascii="Calibri" w:hAnsi="Calibri"/>
                <w:color w:val="202124"/>
                <w:sz w:val="18"/>
              </w:rPr>
              <w:t>Lessons completed; quiz/progress results; reported application to live research.</w:t>
            </w:r>
          </w:p>
        </w:tc>
      </w:tr>
      <w:tr>
        <w:trPr>
          <w:cantSplit/>
        </w:trPr>
        <w:tc>
          <w:tcPr>
            <w:tcW w:type="dxa" w:w="24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Mentorship</w:t>
            </w:r>
          </w:p>
        </w:tc>
        <w:tc>
          <w:tcPr>
            <w:tcW w:type="dxa" w:w="70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Consultations completed; response time; participant usefulness ratings.</w:t>
            </w:r>
          </w:p>
        </w:tc>
      </w:tr>
      <w:tr>
        <w:trPr>
          <w:cantSplit/>
        </w:trPr>
        <w:tc>
          <w:tcPr>
            <w:tcW w:type="dxa" w:w="2400"/>
            <w:tcMar>
              <w:top w:w="90" w:type="dxa"/>
              <w:start w:w="120" w:type="dxa"/>
              <w:bottom w:w="90" w:type="dxa"/>
              <w:end w:w="120" w:type="dxa"/>
            </w:tcMar>
            <w:vAlign w:val="center"/>
          </w:tcPr>
          <w:p>
            <w:pPr>
              <w:spacing w:after="0" w:line="252" w:lineRule="auto"/>
              <w:jc w:val="left"/>
            </w:pPr>
            <w:r>
              <w:rPr>
                <w:rFonts w:ascii="Calibri" w:hAnsi="Calibri"/>
                <w:color w:val="202124"/>
                <w:sz w:val="18"/>
              </w:rPr>
              <w:t>Review quality</w:t>
            </w:r>
          </w:p>
        </w:tc>
        <w:tc>
          <w:tcPr>
            <w:tcW w:type="dxa" w:w="7061"/>
            <w:tcMar>
              <w:top w:w="90" w:type="dxa"/>
              <w:start w:w="120" w:type="dxa"/>
              <w:bottom w:w="90" w:type="dxa"/>
              <w:end w:w="120" w:type="dxa"/>
            </w:tcMar>
            <w:vAlign w:val="center"/>
          </w:tcPr>
          <w:p>
            <w:pPr>
              <w:spacing w:after="0" w:line="252" w:lineRule="auto"/>
              <w:jc w:val="left"/>
            </w:pPr>
            <w:r>
              <w:rPr>
                <w:rFonts w:ascii="Calibri" w:hAnsi="Calibri"/>
                <w:color w:val="202124"/>
                <w:sz w:val="18"/>
              </w:rPr>
              <w:t>Assignments completed; timeliness; revision quality; author and editor feedback.</w:t>
            </w:r>
          </w:p>
        </w:tc>
      </w:tr>
      <w:tr>
        <w:trPr>
          <w:cantSplit/>
        </w:trPr>
        <w:tc>
          <w:tcPr>
            <w:tcW w:type="dxa" w:w="24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Research outputs</w:t>
            </w:r>
          </w:p>
        </w:tc>
        <w:tc>
          <w:tcPr>
            <w:tcW w:type="dxa" w:w="70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Submissions, revisions, decisions and approved repository publications.</w:t>
            </w:r>
          </w:p>
        </w:tc>
      </w:tr>
      <w:tr>
        <w:trPr>
          <w:cantSplit/>
        </w:trPr>
        <w:tc>
          <w:tcPr>
            <w:tcW w:type="dxa" w:w="2400"/>
            <w:tcMar>
              <w:top w:w="90" w:type="dxa"/>
              <w:start w:w="120" w:type="dxa"/>
              <w:bottom w:w="90" w:type="dxa"/>
              <w:end w:w="120" w:type="dxa"/>
            </w:tcMar>
            <w:vAlign w:val="center"/>
          </w:tcPr>
          <w:p>
            <w:pPr>
              <w:spacing w:after="0" w:line="252" w:lineRule="auto"/>
              <w:jc w:val="left"/>
            </w:pPr>
            <w:r>
              <w:rPr>
                <w:rFonts w:ascii="Calibri" w:hAnsi="Calibri"/>
                <w:color w:val="202124"/>
                <w:sz w:val="18"/>
              </w:rPr>
              <w:t>Institutional value</w:t>
            </w:r>
          </w:p>
        </w:tc>
        <w:tc>
          <w:tcPr>
            <w:tcW w:type="dxa" w:w="7061"/>
            <w:tcMar>
              <w:top w:w="90" w:type="dxa"/>
              <w:start w:w="120" w:type="dxa"/>
              <w:bottom w:w="90" w:type="dxa"/>
              <w:end w:w="120" w:type="dxa"/>
            </w:tcMar>
            <w:vAlign w:val="center"/>
          </w:tcPr>
          <w:p>
            <w:pPr>
              <w:spacing w:after="0" w:line="252" w:lineRule="auto"/>
              <w:jc w:val="left"/>
            </w:pPr>
            <w:r>
              <w:rPr>
                <w:rFonts w:ascii="Calibri" w:hAnsi="Calibri"/>
                <w:color w:val="202124"/>
                <w:sz w:val="18"/>
              </w:rPr>
              <w:t>Dashboard use, reports generated, stakeholder satisfaction and identified planning benefits.</w:t>
            </w:r>
          </w:p>
        </w:tc>
      </w:tr>
      <w:tr>
        <w:trPr>
          <w:cantSplit/>
        </w:trPr>
        <w:tc>
          <w:tcPr>
            <w:tcW w:type="dxa" w:w="24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Integrity and safety</w:t>
            </w:r>
          </w:p>
        </w:tc>
        <w:tc>
          <w:tcPr>
            <w:tcW w:type="dxa" w:w="70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Complaints, conflicts disclosed, access incidents and resolution time.</w:t>
            </w:r>
          </w:p>
        </w:tc>
      </w:tr>
      <w:tr>
        <w:trPr>
          <w:cantSplit/>
        </w:trPr>
        <w:tc>
          <w:tcPr>
            <w:tcW w:type="dxa" w:w="2400"/>
            <w:tcMar>
              <w:top w:w="90" w:type="dxa"/>
              <w:start w:w="120" w:type="dxa"/>
              <w:bottom w:w="90" w:type="dxa"/>
              <w:end w:w="120" w:type="dxa"/>
            </w:tcMar>
            <w:vAlign w:val="center"/>
          </w:tcPr>
          <w:p>
            <w:pPr>
              <w:spacing w:after="0" w:line="252" w:lineRule="auto"/>
              <w:jc w:val="left"/>
            </w:pPr>
            <w:r>
              <w:rPr>
                <w:rFonts w:ascii="Calibri" w:hAnsi="Calibri"/>
                <w:color w:val="202124"/>
                <w:sz w:val="18"/>
              </w:rPr>
              <w:t>Inclusion</w:t>
            </w:r>
          </w:p>
        </w:tc>
        <w:tc>
          <w:tcPr>
            <w:tcW w:type="dxa" w:w="7061"/>
            <w:tcMar>
              <w:top w:w="90" w:type="dxa"/>
              <w:start w:w="120" w:type="dxa"/>
              <w:bottom w:w="90" w:type="dxa"/>
              <w:end w:w="120" w:type="dxa"/>
            </w:tcMar>
            <w:vAlign w:val="center"/>
          </w:tcPr>
          <w:p>
            <w:pPr>
              <w:spacing w:after="0" w:line="252" w:lineRule="auto"/>
              <w:jc w:val="left"/>
            </w:pPr>
            <w:r>
              <w:rPr>
                <w:rFonts w:ascii="Calibri" w:hAnsi="Calibri"/>
                <w:color w:val="202124"/>
                <w:sz w:val="18"/>
              </w:rPr>
              <w:t>Participation and completion patterns across agreed demographic or academic categories, where lawful and appropriate.</w:t>
            </w:r>
          </w:p>
        </w:tc>
      </w:tr>
    </w:tbl>
    <w:p>
      <w:pPr>
        <w:widowControl/>
        <w:spacing w:after="0"/>
      </w:pPr>
    </w:p>
    <w:p>
      <w:pPr>
        <w:pStyle w:val="Heading1"/>
        <w:widowControl/>
      </w:pPr>
      <w:r>
        <w:t>14. Key Risks and Mitigation</w:t>
      </w:r>
    </w:p>
    <w:tbl>
      <w:tblPr>
        <w:tblW w:type="dxa" w:w="9461"/>
        <w:jc w:val="center"/>
        <w:tblLayout w:type="fixed"/>
        <w:tblLook w:firstColumn="1" w:firstRow="1" w:lastColumn="0" w:lastRow="0" w:noHBand="0" w:noVBand="1" w:val="04A0"/>
        <w:tblBorders>
          <w:top w:val="single" w:sz="5" w:color="D6DEE5"/>
          <w:left w:val="single" w:sz="5" w:color="D6DEE5"/>
          <w:bottom w:val="single" w:sz="5" w:color="D6DEE5"/>
          <w:right w:val="single" w:sz="5" w:color="D6DEE5"/>
          <w:insideH w:val="single" w:sz="5" w:color="D6DEE5"/>
          <w:insideV w:val="single" w:sz="5" w:color="D6DEE5"/>
        </w:tblBorders>
        <w:tblInd w:type="dxa" w:w="120"/>
      </w:tblPr>
      <w:tblGrid>
        <w:gridCol w:w="2900"/>
        <w:gridCol w:w="6561"/>
      </w:tblGrid>
      <w:tr>
        <w:trPr>
          <w:tblHeader w:val="true"/>
          <w:cantSplit/>
        </w:trPr>
        <w:tc>
          <w:tcPr>
            <w:tcW w:type="dxa" w:w="2900"/>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7"/>
              </w:rPr>
              <w:t>Risk</w:t>
            </w:r>
          </w:p>
        </w:tc>
        <w:tc>
          <w:tcPr>
            <w:tcW w:type="dxa" w:w="6561"/>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7"/>
              </w:rPr>
              <w:t>Mitigation</w:t>
            </w:r>
          </w:p>
        </w:tc>
      </w:tr>
      <w:tr>
        <w:trPr>
          <w:cantSplit/>
        </w:trPr>
        <w:tc>
          <w:tcPr>
            <w:tcW w:type="dxa" w:w="2900"/>
            <w:tcMar>
              <w:top w:w="90" w:type="dxa"/>
              <w:start w:w="120" w:type="dxa"/>
              <w:bottom w:w="90" w:type="dxa"/>
              <w:end w:w="120" w:type="dxa"/>
            </w:tcMar>
            <w:vAlign w:val="center"/>
          </w:tcPr>
          <w:p>
            <w:pPr>
              <w:spacing w:after="0" w:line="252" w:lineRule="auto"/>
              <w:jc w:val="left"/>
            </w:pPr>
            <w:r>
              <w:rPr>
                <w:rFonts w:ascii="Calibri" w:hAnsi="Calibri"/>
                <w:color w:val="202124"/>
                <w:sz w:val="17"/>
              </w:rPr>
              <w:t>Low participant engagement</w:t>
            </w:r>
          </w:p>
        </w:tc>
        <w:tc>
          <w:tcPr>
            <w:tcW w:type="dxa" w:w="6561"/>
            <w:tcMar>
              <w:top w:w="90" w:type="dxa"/>
              <w:start w:w="120" w:type="dxa"/>
              <w:bottom w:w="90" w:type="dxa"/>
              <w:end w:w="120" w:type="dxa"/>
            </w:tcMar>
            <w:vAlign w:val="center"/>
          </w:tcPr>
          <w:p>
            <w:pPr>
              <w:spacing w:after="0" w:line="252" w:lineRule="auto"/>
              <w:jc w:val="left"/>
            </w:pPr>
            <w:r>
              <w:rPr>
                <w:rFonts w:ascii="Calibri" w:hAnsi="Calibri"/>
                <w:color w:val="202124"/>
                <w:sz w:val="17"/>
              </w:rPr>
              <w:t>Use a manageable cohort, clear orientation, focal-person follow-up and realistic milestones.</w:t>
            </w:r>
          </w:p>
        </w:tc>
      </w:tr>
      <w:tr>
        <w:trPr>
          <w:cantSplit/>
        </w:trPr>
        <w:tc>
          <w:tcPr>
            <w:tcW w:type="dxa" w:w="290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Lecturer/reviewer workload</w:t>
            </w:r>
          </w:p>
        </w:tc>
        <w:tc>
          <w:tcPr>
            <w:tcW w:type="dxa" w:w="6561"/>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Agree workload limits, expertise matching, deadlines and reassignment procedures.</w:t>
            </w:r>
          </w:p>
        </w:tc>
      </w:tr>
      <w:tr>
        <w:trPr>
          <w:cantSplit/>
        </w:trPr>
        <w:tc>
          <w:tcPr>
            <w:tcW w:type="dxa" w:w="2900"/>
            <w:tcMar>
              <w:top w:w="90" w:type="dxa"/>
              <w:start w:w="120" w:type="dxa"/>
              <w:bottom w:w="90" w:type="dxa"/>
              <w:end w:w="120" w:type="dxa"/>
            </w:tcMar>
            <w:vAlign w:val="center"/>
          </w:tcPr>
          <w:p>
            <w:pPr>
              <w:spacing w:after="0" w:line="252" w:lineRule="auto"/>
              <w:jc w:val="left"/>
            </w:pPr>
            <w:r>
              <w:rPr>
                <w:rFonts w:ascii="Calibri" w:hAnsi="Calibri"/>
                <w:color w:val="202124"/>
                <w:sz w:val="17"/>
              </w:rPr>
              <w:t>Misuse of support services</w:t>
            </w:r>
          </w:p>
        </w:tc>
        <w:tc>
          <w:tcPr>
            <w:tcW w:type="dxa" w:w="6561"/>
            <w:tcMar>
              <w:top w:w="90" w:type="dxa"/>
              <w:start w:w="120" w:type="dxa"/>
              <w:bottom w:w="90" w:type="dxa"/>
              <w:end w:w="120" w:type="dxa"/>
            </w:tcMar>
            <w:vAlign w:val="center"/>
          </w:tcPr>
          <w:p>
            <w:pPr>
              <w:spacing w:after="0" w:line="252" w:lineRule="auto"/>
              <w:jc w:val="left"/>
            </w:pPr>
            <w:r>
              <w:rPr>
                <w:rFonts w:ascii="Calibri" w:hAnsi="Calibri"/>
                <w:color w:val="202124"/>
                <w:sz w:val="17"/>
              </w:rPr>
              <w:t>Apply authorship rules, scope controls, declarations, audit records and sanctions for contract cheating.</w:t>
            </w:r>
          </w:p>
        </w:tc>
      </w:tr>
      <w:tr>
        <w:trPr>
          <w:cantSplit/>
        </w:trPr>
        <w:tc>
          <w:tcPr>
            <w:tcW w:type="dxa" w:w="290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Confidentiality or access concern</w:t>
            </w:r>
          </w:p>
        </w:tc>
        <w:tc>
          <w:tcPr>
            <w:tcW w:type="dxa" w:w="6561"/>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Use role-based permissions, verified affiliations, least-access design and incident escalation.</w:t>
            </w:r>
          </w:p>
        </w:tc>
      </w:tr>
      <w:tr>
        <w:trPr>
          <w:cantSplit/>
        </w:trPr>
        <w:tc>
          <w:tcPr>
            <w:tcW w:type="dxa" w:w="2900"/>
            <w:tcMar>
              <w:top w:w="90" w:type="dxa"/>
              <w:start w:w="120" w:type="dxa"/>
              <w:bottom w:w="90" w:type="dxa"/>
              <w:end w:w="120" w:type="dxa"/>
            </w:tcMar>
            <w:vAlign w:val="center"/>
          </w:tcPr>
          <w:p>
            <w:pPr>
              <w:spacing w:after="0" w:line="252" w:lineRule="auto"/>
              <w:jc w:val="left"/>
            </w:pPr>
            <w:r>
              <w:rPr>
                <w:rFonts w:ascii="Calibri" w:hAnsi="Calibri"/>
                <w:color w:val="202124"/>
                <w:sz w:val="17"/>
              </w:rPr>
              <w:t>Uneven digital access or skills</w:t>
            </w:r>
          </w:p>
        </w:tc>
        <w:tc>
          <w:tcPr>
            <w:tcW w:type="dxa" w:w="6561"/>
            <w:tcMar>
              <w:top w:w="90" w:type="dxa"/>
              <w:start w:w="120" w:type="dxa"/>
              <w:bottom w:w="90" w:type="dxa"/>
              <w:end w:w="120" w:type="dxa"/>
            </w:tcMar>
            <w:vAlign w:val="center"/>
          </w:tcPr>
          <w:p>
            <w:pPr>
              <w:spacing w:after="0" w:line="252" w:lineRule="auto"/>
              <w:jc w:val="left"/>
            </w:pPr>
            <w:r>
              <w:rPr>
                <w:rFonts w:ascii="Calibri" w:hAnsi="Calibri"/>
                <w:color w:val="202124"/>
                <w:sz w:val="17"/>
              </w:rPr>
              <w:t>Provide simple onboarding, mobile-responsive access, downloadable guidance and assisted orientation.</w:t>
            </w:r>
          </w:p>
        </w:tc>
      </w:tr>
      <w:tr>
        <w:trPr>
          <w:cantSplit/>
        </w:trPr>
        <w:tc>
          <w:tcPr>
            <w:tcW w:type="dxa" w:w="290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Unclear institutional authority</w:t>
            </w:r>
          </w:p>
        </w:tc>
        <w:tc>
          <w:tcPr>
            <w:tcW w:type="dxa" w:w="6561"/>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Secure formal focal-person nomination and document approval and escalation channels.</w:t>
            </w:r>
          </w:p>
        </w:tc>
      </w:tr>
      <w:tr>
        <w:trPr>
          <w:cantSplit/>
        </w:trPr>
        <w:tc>
          <w:tcPr>
            <w:tcW w:type="dxa" w:w="2900"/>
            <w:tcMar>
              <w:top w:w="90" w:type="dxa"/>
              <w:start w:w="120" w:type="dxa"/>
              <w:bottom w:w="90" w:type="dxa"/>
              <w:end w:w="120" w:type="dxa"/>
            </w:tcMar>
            <w:vAlign w:val="center"/>
          </w:tcPr>
          <w:p>
            <w:pPr>
              <w:spacing w:after="0" w:line="252" w:lineRule="auto"/>
              <w:jc w:val="left"/>
            </w:pPr>
            <w:r>
              <w:rPr>
                <w:rFonts w:ascii="Calibri" w:hAnsi="Calibri"/>
                <w:color w:val="202124"/>
                <w:sz w:val="17"/>
              </w:rPr>
              <w:t>Premature public claims</w:t>
            </w:r>
          </w:p>
        </w:tc>
        <w:tc>
          <w:tcPr>
            <w:tcW w:type="dxa" w:w="6561"/>
            <w:tcMar>
              <w:top w:w="90" w:type="dxa"/>
              <w:start w:w="120" w:type="dxa"/>
              <w:bottom w:w="90" w:type="dxa"/>
              <w:end w:w="120" w:type="dxa"/>
            </w:tcMar>
            <w:vAlign w:val="center"/>
          </w:tcPr>
          <w:p>
            <w:pPr>
              <w:spacing w:after="0" w:line="252" w:lineRule="auto"/>
              <w:jc w:val="left"/>
            </w:pPr>
            <w:r>
              <w:rPr>
                <w:rFonts w:ascii="Calibri" w:hAnsi="Calibri"/>
                <w:color w:val="202124"/>
                <w:sz w:val="17"/>
              </w:rPr>
              <w:t>Require written approval for logos, announcements, statistics and partnership statements.</w:t>
            </w:r>
          </w:p>
        </w:tc>
      </w:tr>
      <w:tr>
        <w:trPr>
          <w:cantSplit/>
        </w:trPr>
        <w:tc>
          <w:tcPr>
            <w:tcW w:type="dxa" w:w="2900"/>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Pilot expansion before evidence</w:t>
            </w:r>
          </w:p>
        </w:tc>
        <w:tc>
          <w:tcPr>
            <w:tcW w:type="dxa" w:w="6561"/>
            <w:shd w:fill="F3F7FA"/>
            <w:tcMar>
              <w:top w:w="90" w:type="dxa"/>
              <w:start w:w="120" w:type="dxa"/>
              <w:bottom w:w="90" w:type="dxa"/>
              <w:end w:w="120" w:type="dxa"/>
            </w:tcMar>
            <w:vAlign w:val="center"/>
          </w:tcPr>
          <w:p>
            <w:pPr>
              <w:spacing w:after="0" w:line="252" w:lineRule="auto"/>
              <w:jc w:val="left"/>
            </w:pPr>
            <w:r>
              <w:rPr>
                <w:rFonts w:ascii="Calibri" w:hAnsi="Calibri"/>
                <w:color w:val="202124"/>
                <w:sz w:val="17"/>
              </w:rPr>
              <w:t>Use stage gates and approve scaling only after joint evaluation.</w:t>
            </w:r>
          </w:p>
        </w:tc>
      </w:tr>
    </w:tbl>
    <w:p>
      <w:pPr>
        <w:widowControl/>
        <w:spacing w:after="0"/>
      </w:pPr>
    </w:p>
    <w:p>
      <w:pPr>
        <w:pStyle w:val="Heading1"/>
        <w:widowControl/>
      </w:pPr>
      <w:r>
        <w:t>15. Governance and Communication</w:t>
      </w:r>
    </w:p>
    <w:p>
      <w:pPr>
        <w:widowControl/>
      </w:pPr>
      <w:r>
        <w:rPr>
          <w:i w:val="0"/>
        </w:rPr>
        <w:t>A small Joint Pilot Team should guide implementation. It may include the institutional focal person, one academic representative, one research/repository or quality-assurance representative where available, and designated ResearchBridge Africa representatives.</w:t>
      </w:r>
    </w:p>
    <w:tbl>
      <w:tblPr>
        <w:tblW w:type="dxa" w:w="9461"/>
        <w:jc w:val="center"/>
        <w:tblLayout w:type="fixed"/>
        <w:tblLook w:firstColumn="1" w:firstRow="1" w:lastColumn="0" w:lastRow="0" w:noHBand="0" w:noVBand="1" w:val="04A0"/>
        <w:tblBorders>
          <w:top w:val="single" w:sz="5" w:color="D6DEE5"/>
          <w:left w:val="single" w:sz="5" w:color="D6DEE5"/>
          <w:bottom w:val="single" w:sz="5" w:color="D6DEE5"/>
          <w:right w:val="single" w:sz="5" w:color="D6DEE5"/>
          <w:insideH w:val="single" w:sz="5" w:color="D6DEE5"/>
          <w:insideV w:val="single" w:sz="5" w:color="D6DEE5"/>
        </w:tblBorders>
        <w:tblInd w:type="dxa" w:w="120"/>
      </w:tblPr>
      <w:tblGrid>
        <w:gridCol w:w="2200"/>
        <w:gridCol w:w="5261"/>
        <w:gridCol w:w="2000"/>
      </w:tblGrid>
      <w:tr>
        <w:trPr>
          <w:tblHeader w:val="true"/>
          <w:cantSplit/>
        </w:trPr>
        <w:tc>
          <w:tcPr>
            <w:tcW w:type="dxa" w:w="2200"/>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8"/>
              </w:rPr>
              <w:t>Meeting</w:t>
            </w:r>
          </w:p>
        </w:tc>
        <w:tc>
          <w:tcPr>
            <w:tcW w:type="dxa" w:w="5261"/>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8"/>
              </w:rPr>
              <w:t>Purpose</w:t>
            </w:r>
          </w:p>
        </w:tc>
        <w:tc>
          <w:tcPr>
            <w:tcW w:type="dxa" w:w="2000"/>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8"/>
              </w:rPr>
              <w:t>Indicative Frequency</w:t>
            </w:r>
          </w:p>
        </w:tc>
      </w:tr>
      <w:tr>
        <w:trPr>
          <w:cantSplit/>
        </w:trPr>
        <w:tc>
          <w:tcPr>
            <w:tcW w:type="dxa" w:w="2200"/>
            <w:tcMar>
              <w:top w:w="90" w:type="dxa"/>
              <w:start w:w="120" w:type="dxa"/>
              <w:bottom w:w="90" w:type="dxa"/>
              <w:end w:w="120" w:type="dxa"/>
            </w:tcMar>
            <w:vAlign w:val="center"/>
          </w:tcPr>
          <w:p>
            <w:pPr>
              <w:spacing w:after="0" w:line="252" w:lineRule="auto"/>
              <w:jc w:val="left"/>
            </w:pPr>
            <w:r>
              <w:rPr>
                <w:rFonts w:ascii="Calibri" w:hAnsi="Calibri"/>
                <w:color w:val="202124"/>
                <w:sz w:val="18"/>
              </w:rPr>
              <w:t>Design meeting</w:t>
            </w:r>
          </w:p>
        </w:tc>
        <w:tc>
          <w:tcPr>
            <w:tcW w:type="dxa" w:w="5261"/>
            <w:tcMar>
              <w:top w:w="90" w:type="dxa"/>
              <w:start w:w="120" w:type="dxa"/>
              <w:bottom w:w="90" w:type="dxa"/>
              <w:end w:w="120" w:type="dxa"/>
            </w:tcMar>
            <w:vAlign w:val="center"/>
          </w:tcPr>
          <w:p>
            <w:pPr>
              <w:spacing w:after="0" w:line="252" w:lineRule="auto"/>
              <w:jc w:val="left"/>
            </w:pPr>
            <w:r>
              <w:rPr>
                <w:rFonts w:ascii="Calibri" w:hAnsi="Calibri"/>
                <w:color w:val="202124"/>
                <w:sz w:val="18"/>
              </w:rPr>
              <w:t>Approve scope, roles, safeguards, indicators and implementation schedule.</w:t>
            </w:r>
          </w:p>
        </w:tc>
        <w:tc>
          <w:tcPr>
            <w:tcW w:type="dxa" w:w="2000"/>
            <w:tcMar>
              <w:top w:w="90" w:type="dxa"/>
              <w:start w:w="120" w:type="dxa"/>
              <w:bottom w:w="90" w:type="dxa"/>
              <w:end w:w="120" w:type="dxa"/>
            </w:tcMar>
            <w:vAlign w:val="center"/>
          </w:tcPr>
          <w:p>
            <w:pPr>
              <w:spacing w:after="0" w:line="252" w:lineRule="auto"/>
              <w:jc w:val="left"/>
            </w:pPr>
            <w:r>
              <w:rPr>
                <w:rFonts w:ascii="Calibri" w:hAnsi="Calibri"/>
                <w:color w:val="202124"/>
                <w:sz w:val="18"/>
              </w:rPr>
              <w:t>Before activation</w:t>
            </w:r>
          </w:p>
        </w:tc>
      </w:tr>
      <w:tr>
        <w:trPr>
          <w:cantSplit/>
        </w:trPr>
        <w:tc>
          <w:tcPr>
            <w:tcW w:type="dxa" w:w="22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Operational review</w:t>
            </w:r>
          </w:p>
        </w:tc>
        <w:tc>
          <w:tcPr>
            <w:tcW w:type="dxa" w:w="52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Review access, participation, workflow issues and agreed metrics.</w:t>
            </w:r>
          </w:p>
        </w:tc>
        <w:tc>
          <w:tcPr>
            <w:tcW w:type="dxa" w:w="20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Monthly</w:t>
            </w:r>
          </w:p>
        </w:tc>
      </w:tr>
      <w:tr>
        <w:trPr>
          <w:cantSplit/>
        </w:trPr>
        <w:tc>
          <w:tcPr>
            <w:tcW w:type="dxa" w:w="2200"/>
            <w:tcMar>
              <w:top w:w="90" w:type="dxa"/>
              <w:start w:w="120" w:type="dxa"/>
              <w:bottom w:w="90" w:type="dxa"/>
              <w:end w:w="120" w:type="dxa"/>
            </w:tcMar>
            <w:vAlign w:val="center"/>
          </w:tcPr>
          <w:p>
            <w:pPr>
              <w:spacing w:after="0" w:line="252" w:lineRule="auto"/>
              <w:jc w:val="left"/>
            </w:pPr>
            <w:r>
              <w:rPr>
                <w:rFonts w:ascii="Calibri" w:hAnsi="Calibri"/>
                <w:color w:val="202124"/>
                <w:sz w:val="18"/>
              </w:rPr>
              <w:t>Incident/issue meeting</w:t>
            </w:r>
          </w:p>
        </w:tc>
        <w:tc>
          <w:tcPr>
            <w:tcW w:type="dxa" w:w="5261"/>
            <w:tcMar>
              <w:top w:w="90" w:type="dxa"/>
              <w:start w:w="120" w:type="dxa"/>
              <w:bottom w:w="90" w:type="dxa"/>
              <w:end w:w="120" w:type="dxa"/>
            </w:tcMar>
            <w:vAlign w:val="center"/>
          </w:tcPr>
          <w:p>
            <w:pPr>
              <w:spacing w:after="0" w:line="252" w:lineRule="auto"/>
              <w:jc w:val="left"/>
            </w:pPr>
            <w:r>
              <w:rPr>
                <w:rFonts w:ascii="Calibri" w:hAnsi="Calibri"/>
                <w:color w:val="202124"/>
                <w:sz w:val="18"/>
              </w:rPr>
              <w:t>Address urgent integrity, confidentiality, access or service matters.</w:t>
            </w:r>
          </w:p>
        </w:tc>
        <w:tc>
          <w:tcPr>
            <w:tcW w:type="dxa" w:w="2000"/>
            <w:tcMar>
              <w:top w:w="90" w:type="dxa"/>
              <w:start w:w="120" w:type="dxa"/>
              <w:bottom w:w="90" w:type="dxa"/>
              <w:end w:w="120" w:type="dxa"/>
            </w:tcMar>
            <w:vAlign w:val="center"/>
          </w:tcPr>
          <w:p>
            <w:pPr>
              <w:spacing w:after="0" w:line="252" w:lineRule="auto"/>
              <w:jc w:val="left"/>
            </w:pPr>
            <w:r>
              <w:rPr>
                <w:rFonts w:ascii="Calibri" w:hAnsi="Calibri"/>
                <w:color w:val="202124"/>
                <w:sz w:val="18"/>
              </w:rPr>
              <w:t>As required</w:t>
            </w:r>
          </w:p>
        </w:tc>
      </w:tr>
      <w:tr>
        <w:trPr>
          <w:cantSplit/>
        </w:trPr>
        <w:tc>
          <w:tcPr>
            <w:tcW w:type="dxa" w:w="22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Final evaluation</w:t>
            </w:r>
          </w:p>
        </w:tc>
        <w:tc>
          <w:tcPr>
            <w:tcW w:type="dxa" w:w="52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Review evidence, lessons, participant feedback and scaling options.</w:t>
            </w:r>
          </w:p>
        </w:tc>
        <w:tc>
          <w:tcPr>
            <w:tcW w:type="dxa" w:w="20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End of pilot</w:t>
            </w:r>
          </w:p>
        </w:tc>
      </w:tr>
    </w:tbl>
    <w:p>
      <w:pPr>
        <w:widowControl/>
        <w:spacing w:after="0"/>
      </w:pPr>
    </w:p>
    <w:p>
      <w:pPr>
        <w:widowControl/>
      </w:pPr>
      <w:r>
        <w:br w:type="page"/>
      </w:r>
    </w:p>
    <w:p>
      <w:pPr>
        <w:pStyle w:val="Heading1"/>
        <w:widowControl/>
      </w:pPr>
      <w:r>
        <w:t>16. Decision Requested and Next Steps</w:t>
      </w:r>
    </w:p>
    <w:p>
      <w:pPr>
        <w:widowControl/>
      </w:pPr>
      <w:r>
        <w:rPr>
          <w:i w:val="0"/>
        </w:rPr>
        <w:t>ResearchBridge Africa respectfully requests approval in principle for a partnership discussion with [Name of Institution]. Approval in principle means that the institution is willing to explore the pilot; it does not create a binding partnership or financial commitment.</w:t>
      </w:r>
    </w:p>
    <w:p>
      <w:pPr>
        <w:widowControl/>
      </w:pPr>
      <w:r>
        <w:rPr>
          <w:i w:val="0"/>
        </w:rPr>
        <w:t>Upon a positive response, the proposed next steps are:</w:t>
      </w:r>
    </w:p>
    <w:p>
      <w:pPr>
        <w:spacing w:after="80" w:line="290" w:lineRule="auto"/>
        <w:ind w:left="540" w:hanging="279"/>
        <w:widowControl/>
        <w:numPr>
          <w:ilvl w:val="0"/>
          <w:numId w:val="11"/>
        </w:numPr>
      </w:pPr>
      <w:r>
        <w:t>Nominate an institutional contact for preliminary discussions.</w:t>
      </w:r>
    </w:p>
    <w:p>
      <w:pPr>
        <w:spacing w:after="80" w:line="290" w:lineRule="auto"/>
        <w:ind w:left="540" w:hanging="279"/>
        <w:widowControl/>
        <w:numPr>
          <w:ilvl w:val="0"/>
          <w:numId w:val="11"/>
        </w:numPr>
      </w:pPr>
      <w:r>
        <w:t>Hold a platform demonstration and needs-assessment meeting.</w:t>
      </w:r>
    </w:p>
    <w:p>
      <w:pPr>
        <w:spacing w:after="80" w:line="290" w:lineRule="auto"/>
        <w:ind w:left="540" w:hanging="279"/>
        <w:widowControl/>
        <w:numPr>
          <w:ilvl w:val="0"/>
          <w:numId w:val="11"/>
        </w:numPr>
      </w:pPr>
      <w:r>
        <w:t>Agree the participating academic unit(s), cohort, roles and pilot duration.</w:t>
      </w:r>
    </w:p>
    <w:p>
      <w:pPr>
        <w:spacing w:after="80" w:line="290" w:lineRule="auto"/>
        <w:ind w:left="540" w:hanging="279"/>
        <w:widowControl/>
        <w:numPr>
          <w:ilvl w:val="0"/>
          <w:numId w:val="11"/>
        </w:numPr>
      </w:pPr>
      <w:r>
        <w:t>Review institutional legal, ethics, data-protection, branding and procurement requirements.</w:t>
      </w:r>
    </w:p>
    <w:p>
      <w:pPr>
        <w:spacing w:after="80" w:line="290" w:lineRule="auto"/>
        <w:ind w:left="540" w:hanging="279"/>
        <w:widowControl/>
        <w:numPr>
          <w:ilvl w:val="0"/>
          <w:numId w:val="11"/>
        </w:numPr>
      </w:pPr>
      <w:r>
        <w:t>Prepare an implementation schedule, participant documents and MOU or other appropriate agreement.</w:t>
      </w:r>
    </w:p>
    <w:p>
      <w:pPr>
        <w:spacing w:after="80" w:line="290" w:lineRule="auto"/>
        <w:ind w:left="540" w:hanging="279"/>
        <w:widowControl/>
        <w:numPr>
          <w:ilvl w:val="0"/>
          <w:numId w:val="11"/>
        </w:numPr>
      </w:pPr>
      <w:r>
        <w:t>Configure access, conduct orientation and begin the controlled pilot.</w:t>
      </w:r>
    </w:p>
    <w:tbl>
      <w:tblPr>
        <w:tblW w:type="dxa" w:w="9461"/>
        <w:jc w:val="center"/>
        <w:tblLayout w:type="fixed"/>
        <w:tblLook w:firstColumn="1" w:firstRow="1" w:lastColumn="0" w:lastRow="0" w:noHBand="0" w:noVBand="1" w:val="04A0"/>
        <w:tblInd w:type="dxa" w:w="120"/>
        <w:tblBorders>
          <w:top w:val="single" w:sz="2" w:color="EAF4F4"/>
          <w:left w:val="single" w:sz="2" w:color="EAF4F4"/>
          <w:bottom w:val="single" w:sz="2" w:color="EAF4F4"/>
          <w:right w:val="single" w:sz="2" w:color="EAF4F4"/>
          <w:insideH w:val="single" w:sz="2" w:color="EAF4F4"/>
          <w:insideV w:val="single" w:sz="2" w:color="EAF4F4"/>
        </w:tblBorders>
      </w:tblPr>
      <w:tblGrid>
        <w:gridCol w:w="9461"/>
      </w:tblGrid>
      <w:tr>
        <w:trPr>
          <w:cantSplit/>
        </w:trPr>
        <w:tc>
          <w:tcPr>
            <w:tcW w:type="dxa" w:w="9461"/>
            <w:vAlign w:val="center"/>
            <w:shd w:fill="EAF4F4"/>
            <w:tcMar>
              <w:top w:w="150" w:type="dxa"/>
              <w:start w:w="190" w:type="dxa"/>
              <w:bottom w:w="150" w:type="dxa"/>
              <w:end w:w="190" w:type="dxa"/>
            </w:tcMar>
          </w:tcPr>
          <w:p>
            <w:pPr>
              <w:spacing w:after="0" w:line="276" w:lineRule="auto"/>
              <w:jc w:val="left"/>
            </w:pPr>
            <w:r>
              <w:rPr>
                <w:rFonts w:ascii="Calibri" w:hAnsi="Calibri"/>
                <w:b/>
                <w:color w:val="17365D"/>
                <w:sz w:val="21"/>
              </w:rPr>
              <w:t xml:space="preserve">Requested response: </w:t>
            </w:r>
            <w:r>
              <w:rPr>
                <w:rFonts w:ascii="Calibri" w:hAnsi="Calibri"/>
                <w:color w:val="202124"/>
                <w:sz w:val="21"/>
              </w:rPr>
              <w:t>Kindly indicate whether the institution is willing to nominate a representative and schedule an exploratory partnership meeting.</w:t>
            </w:r>
          </w:p>
        </w:tc>
      </w:tr>
    </w:tbl>
    <w:p>
      <w:pPr>
        <w:widowControl/>
        <w:spacing w:after="0"/>
      </w:pPr>
    </w:p>
    <w:p>
      <w:pPr>
        <w:pStyle w:val="Heading1"/>
        <w:widowControl/>
      </w:pPr>
      <w:r>
        <w:t>17. Contact and Proposal Status</w:t>
      </w:r>
    </w:p>
    <w:tbl>
      <w:tblPr>
        <w:tblW w:type="dxa" w:w="9461"/>
        <w:jc w:val="center"/>
        <w:tblLayout w:type="fixed"/>
        <w:tblLook w:firstColumn="1" w:firstRow="1" w:lastColumn="0" w:lastRow="0" w:noHBand="0" w:noVBand="1" w:val="04A0"/>
        <w:tblBorders>
          <w:top w:val="single" w:sz="5" w:color="D6DEE5"/>
          <w:left w:val="single" w:sz="5" w:color="D6DEE5"/>
          <w:bottom w:val="single" w:sz="5" w:color="D6DEE5"/>
          <w:right w:val="single" w:sz="5" w:color="D6DEE5"/>
          <w:insideH w:val="single" w:sz="5" w:color="D6DEE5"/>
          <w:insideV w:val="single" w:sz="5" w:color="D6DEE5"/>
        </w:tblBorders>
        <w:tblInd w:type="dxa" w:w="120"/>
      </w:tblPr>
      <w:tblGrid>
        <w:gridCol w:w="2500"/>
        <w:gridCol w:w="6961"/>
      </w:tblGrid>
      <w:tr>
        <w:trPr>
          <w:tblHeader w:val="true"/>
          <w:cantSplit/>
        </w:trPr>
        <w:tc>
          <w:tcPr>
            <w:tcW w:type="dxa" w:w="2500"/>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8"/>
              </w:rPr>
              <w:t>Item</w:t>
            </w:r>
          </w:p>
        </w:tc>
        <w:tc>
          <w:tcPr>
            <w:tcW w:type="dxa" w:w="6961"/>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8"/>
              </w:rPr>
              <w:t>Details</w:t>
            </w:r>
          </w:p>
        </w:tc>
      </w:tr>
      <w:tr>
        <w:trPr>
          <w:cantSplit/>
        </w:trPr>
        <w:tc>
          <w:tcPr>
            <w:tcW w:type="dxa" w:w="2500"/>
            <w:tcMar>
              <w:top w:w="90" w:type="dxa"/>
              <w:start w:w="120" w:type="dxa"/>
              <w:bottom w:w="90" w:type="dxa"/>
              <w:end w:w="120" w:type="dxa"/>
            </w:tcMar>
            <w:vAlign w:val="center"/>
          </w:tcPr>
          <w:p>
            <w:pPr>
              <w:spacing w:after="0" w:line="252" w:lineRule="auto"/>
              <w:jc w:val="left"/>
            </w:pPr>
            <w:r>
              <w:rPr>
                <w:rFonts w:ascii="Calibri" w:hAnsi="Calibri"/>
                <w:color w:val="202124"/>
                <w:sz w:val="18"/>
              </w:rPr>
              <w:t>Organisation</w:t>
            </w:r>
          </w:p>
        </w:tc>
        <w:tc>
          <w:tcPr>
            <w:tcW w:type="dxa" w:w="6961"/>
            <w:tcMar>
              <w:top w:w="90" w:type="dxa"/>
              <w:start w:w="120" w:type="dxa"/>
              <w:bottom w:w="90" w:type="dxa"/>
              <w:end w:w="120" w:type="dxa"/>
            </w:tcMar>
            <w:vAlign w:val="center"/>
          </w:tcPr>
          <w:p>
            <w:pPr>
              <w:spacing w:after="0" w:line="252" w:lineRule="auto"/>
              <w:jc w:val="left"/>
            </w:pPr>
            <w:r>
              <w:rPr>
                <w:rFonts w:ascii="Calibri" w:hAnsi="Calibri"/>
                <w:color w:val="202124"/>
                <w:sz w:val="18"/>
              </w:rPr>
              <w:t>ResearchBridge Africa</w:t>
            </w:r>
          </w:p>
        </w:tc>
      </w:tr>
      <w:tr>
        <w:trPr>
          <w:cantSplit/>
        </w:trPr>
        <w:tc>
          <w:tcPr>
            <w:tcW w:type="dxa" w:w="25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Lead</w:t>
            </w:r>
          </w:p>
        </w:tc>
        <w:tc>
          <w:tcPr>
            <w:tcW w:type="dxa" w:w="69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Alexander Amoah, PhD</w:t>
            </w:r>
          </w:p>
        </w:tc>
      </w:tr>
      <w:tr>
        <w:trPr>
          <w:cantSplit/>
        </w:trPr>
        <w:tc>
          <w:tcPr>
            <w:tcW w:type="dxa" w:w="2500"/>
            <w:tcMar>
              <w:top w:w="90" w:type="dxa"/>
              <w:start w:w="120" w:type="dxa"/>
              <w:bottom w:w="90" w:type="dxa"/>
              <w:end w:w="120" w:type="dxa"/>
            </w:tcMar>
            <w:vAlign w:val="center"/>
          </w:tcPr>
          <w:p>
            <w:pPr>
              <w:spacing w:after="0" w:line="252" w:lineRule="auto"/>
              <w:jc w:val="left"/>
            </w:pPr>
            <w:r>
              <w:rPr>
                <w:rFonts w:ascii="Calibri" w:hAnsi="Calibri"/>
                <w:color w:val="202124"/>
                <w:sz w:val="18"/>
              </w:rPr>
              <w:t>Country</w:t>
            </w:r>
          </w:p>
        </w:tc>
        <w:tc>
          <w:tcPr>
            <w:tcW w:type="dxa" w:w="6961"/>
            <w:tcMar>
              <w:top w:w="90" w:type="dxa"/>
              <w:start w:w="120" w:type="dxa"/>
              <w:bottom w:w="90" w:type="dxa"/>
              <w:end w:w="120" w:type="dxa"/>
            </w:tcMar>
            <w:vAlign w:val="center"/>
          </w:tcPr>
          <w:p>
            <w:pPr>
              <w:spacing w:after="0" w:line="252" w:lineRule="auto"/>
              <w:jc w:val="left"/>
            </w:pPr>
            <w:r>
              <w:rPr>
                <w:rFonts w:ascii="Calibri" w:hAnsi="Calibri"/>
                <w:color w:val="202124"/>
                <w:sz w:val="18"/>
              </w:rPr>
              <w:t>Ghana</w:t>
            </w:r>
          </w:p>
        </w:tc>
      </w:tr>
      <w:tr>
        <w:trPr>
          <w:cantSplit/>
        </w:trPr>
        <w:tc>
          <w:tcPr>
            <w:tcW w:type="dxa" w:w="25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Website</w:t>
            </w:r>
          </w:p>
        </w:tc>
        <w:tc>
          <w:tcPr>
            <w:tcW w:type="dxa" w:w="69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https://researchbridge-africa.xanderamoah.chatgpt.site</w:t>
            </w:r>
          </w:p>
        </w:tc>
      </w:tr>
      <w:tr>
        <w:trPr>
          <w:cantSplit/>
        </w:trPr>
        <w:tc>
          <w:tcPr>
            <w:tcW w:type="dxa" w:w="2500"/>
            <w:tcMar>
              <w:top w:w="90" w:type="dxa"/>
              <w:start w:w="120" w:type="dxa"/>
              <w:bottom w:w="90" w:type="dxa"/>
              <w:end w:w="120" w:type="dxa"/>
            </w:tcMar>
            <w:vAlign w:val="center"/>
          </w:tcPr>
          <w:p>
            <w:pPr>
              <w:spacing w:after="0" w:line="252" w:lineRule="auto"/>
              <w:jc w:val="left"/>
            </w:pPr>
            <w:r>
              <w:rPr>
                <w:rFonts w:ascii="Calibri" w:hAnsi="Calibri"/>
                <w:color w:val="202124"/>
                <w:sz w:val="18"/>
              </w:rPr>
              <w:t>Public email</w:t>
            </w:r>
          </w:p>
        </w:tc>
        <w:tc>
          <w:tcPr>
            <w:tcW w:type="dxa" w:w="6961"/>
            <w:tcMar>
              <w:top w:w="90" w:type="dxa"/>
              <w:start w:w="120" w:type="dxa"/>
              <w:bottom w:w="90" w:type="dxa"/>
              <w:end w:w="120" w:type="dxa"/>
            </w:tcMar>
            <w:vAlign w:val="center"/>
          </w:tcPr>
          <w:p>
            <w:pPr>
              <w:spacing w:after="0" w:line="252" w:lineRule="auto"/>
              <w:jc w:val="left"/>
            </w:pPr>
            <w:r>
              <w:rPr>
                <w:rFonts w:ascii="Calibri" w:hAnsi="Calibri"/>
                <w:color w:val="202124"/>
                <w:sz w:val="18"/>
              </w:rPr>
              <w:t>[To be inserted when formally adopted]</w:t>
            </w:r>
          </w:p>
        </w:tc>
      </w:tr>
      <w:tr>
        <w:trPr>
          <w:cantSplit/>
        </w:trPr>
        <w:tc>
          <w:tcPr>
            <w:tcW w:type="dxa" w:w="25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Telephone/postal address</w:t>
            </w:r>
          </w:p>
        </w:tc>
        <w:tc>
          <w:tcPr>
            <w:tcW w:type="dxa" w:w="69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[To be inserted when formally adopted]</w:t>
            </w:r>
          </w:p>
        </w:tc>
      </w:tr>
      <w:tr>
        <w:trPr>
          <w:cantSplit/>
        </w:trPr>
        <w:tc>
          <w:tcPr>
            <w:tcW w:type="dxa" w:w="2500"/>
            <w:tcMar>
              <w:top w:w="90" w:type="dxa"/>
              <w:start w:w="120" w:type="dxa"/>
              <w:bottom w:w="90" w:type="dxa"/>
              <w:end w:w="120" w:type="dxa"/>
            </w:tcMar>
            <w:vAlign w:val="center"/>
          </w:tcPr>
          <w:p>
            <w:pPr>
              <w:spacing w:after="0" w:line="252" w:lineRule="auto"/>
              <w:jc w:val="left"/>
            </w:pPr>
            <w:r>
              <w:rPr>
                <w:rFonts w:ascii="Calibri" w:hAnsi="Calibri"/>
                <w:color w:val="202124"/>
                <w:sz w:val="18"/>
              </w:rPr>
              <w:t>Proposal status</w:t>
            </w:r>
          </w:p>
        </w:tc>
        <w:tc>
          <w:tcPr>
            <w:tcW w:type="dxa" w:w="6961"/>
            <w:tcMar>
              <w:top w:w="90" w:type="dxa"/>
              <w:start w:w="120" w:type="dxa"/>
              <w:bottom w:w="90" w:type="dxa"/>
              <w:end w:w="120" w:type="dxa"/>
            </w:tcMar>
            <w:vAlign w:val="center"/>
          </w:tcPr>
          <w:p>
            <w:pPr>
              <w:spacing w:after="0" w:line="252" w:lineRule="auto"/>
              <w:jc w:val="left"/>
            </w:pPr>
            <w:r>
              <w:rPr>
                <w:rFonts w:ascii="Calibri" w:hAnsi="Calibri"/>
                <w:color w:val="202124"/>
                <w:sz w:val="18"/>
              </w:rPr>
              <w:t>Non-binding invitation for institutional discussion</w:t>
            </w:r>
          </w:p>
        </w:tc>
      </w:tr>
      <w:tr>
        <w:trPr>
          <w:cantSplit/>
        </w:trPr>
        <w:tc>
          <w:tcPr>
            <w:tcW w:type="dxa" w:w="25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Validity</w:t>
            </w:r>
          </w:p>
        </w:tc>
        <w:tc>
          <w:tcPr>
            <w:tcW w:type="dxa" w:w="69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Open for discussion; scope and terms remain subject to written agreement</w:t>
            </w:r>
          </w:p>
        </w:tc>
      </w:tr>
    </w:tbl>
    <w:p>
      <w:pPr>
        <w:widowControl/>
        <w:spacing w:after="0"/>
      </w:pPr>
    </w:p>
    <w:p>
      <w:pPr>
        <w:widowControl/>
      </w:pPr>
      <w:r>
        <w:br w:type="page"/>
      </w:r>
    </w:p>
    <w:p>
      <w:pPr>
        <w:pStyle w:val="Heading1"/>
        <w:widowControl/>
      </w:pPr>
      <w:r>
        <w:t>Appendix A: Illustrative Institutional Pilot Profile</w:t>
      </w:r>
    </w:p>
    <w:tbl>
      <w:tblPr>
        <w:tblW w:type="dxa" w:w="9461"/>
        <w:jc w:val="center"/>
        <w:tblLayout w:type="fixed"/>
        <w:tblLook w:firstColumn="1" w:firstRow="1" w:lastColumn="0" w:lastRow="0" w:noHBand="0" w:noVBand="1" w:val="04A0"/>
        <w:tblBorders>
          <w:top w:val="single" w:sz="5" w:color="D6DEE5"/>
          <w:left w:val="single" w:sz="5" w:color="D6DEE5"/>
          <w:bottom w:val="single" w:sz="5" w:color="D6DEE5"/>
          <w:right w:val="single" w:sz="5" w:color="D6DEE5"/>
          <w:insideH w:val="single" w:sz="5" w:color="D6DEE5"/>
          <w:insideV w:val="single" w:sz="5" w:color="D6DEE5"/>
        </w:tblBorders>
        <w:tblInd w:type="dxa" w:w="120"/>
      </w:tblPr>
      <w:tblGrid>
        <w:gridCol w:w="3000"/>
        <w:gridCol w:w="6461"/>
      </w:tblGrid>
      <w:tr>
        <w:trPr>
          <w:tblHeader w:val="true"/>
          <w:cantSplit/>
        </w:trPr>
        <w:tc>
          <w:tcPr>
            <w:tcW w:type="dxa" w:w="3000"/>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8"/>
              </w:rPr>
              <w:t>Field</w:t>
            </w:r>
          </w:p>
        </w:tc>
        <w:tc>
          <w:tcPr>
            <w:tcW w:type="dxa" w:w="6461"/>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8"/>
              </w:rPr>
              <w:t>Institutional Entry</w:t>
            </w:r>
          </w:p>
        </w:tc>
      </w:tr>
      <w:tr>
        <w:trPr>
          <w:cantSplit/>
        </w:trPr>
        <w:tc>
          <w:tcPr>
            <w:tcW w:type="dxa" w:w="3000"/>
            <w:tcMar>
              <w:top w:w="90" w:type="dxa"/>
              <w:start w:w="120" w:type="dxa"/>
              <w:bottom w:w="90" w:type="dxa"/>
              <w:end w:w="120" w:type="dxa"/>
            </w:tcMar>
            <w:vAlign w:val="center"/>
          </w:tcPr>
          <w:p>
            <w:pPr>
              <w:spacing w:after="0" w:line="252" w:lineRule="auto"/>
              <w:jc w:val="left"/>
            </w:pPr>
            <w:r>
              <w:rPr>
                <w:rFonts w:ascii="Calibri" w:hAnsi="Calibri"/>
                <w:color w:val="202124"/>
                <w:sz w:val="18"/>
              </w:rPr>
              <w:t>Institution</w:t>
            </w:r>
          </w:p>
        </w:tc>
        <w:tc>
          <w:tcPr>
            <w:tcW w:type="dxa" w:w="6461"/>
            <w:tcMar>
              <w:top w:w="90" w:type="dxa"/>
              <w:start w:w="120" w:type="dxa"/>
              <w:bottom w:w="90" w:type="dxa"/>
              <w:end w:w="120" w:type="dxa"/>
            </w:tcMar>
            <w:vAlign w:val="center"/>
          </w:tcPr>
          <w:p>
            <w:pPr>
              <w:spacing w:after="0" w:line="252" w:lineRule="auto"/>
              <w:jc w:val="left"/>
            </w:pPr>
            <w:r>
              <w:rPr>
                <w:rFonts w:ascii="Calibri" w:hAnsi="Calibri"/>
                <w:color w:val="202124"/>
                <w:sz w:val="18"/>
              </w:rPr>
              <w:t>[Insert full legal name]</w:t>
            </w:r>
          </w:p>
        </w:tc>
      </w:tr>
      <w:tr>
        <w:trPr>
          <w:cantSplit/>
        </w:trPr>
        <w:tc>
          <w:tcPr>
            <w:tcW w:type="dxa" w:w="30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Campus/faculty/department</w:t>
            </w:r>
          </w:p>
        </w:tc>
        <w:tc>
          <w:tcPr>
            <w:tcW w:type="dxa" w:w="64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[Insert participating unit(s)]</w:t>
            </w:r>
          </w:p>
        </w:tc>
      </w:tr>
      <w:tr>
        <w:trPr>
          <w:cantSplit/>
        </w:trPr>
        <w:tc>
          <w:tcPr>
            <w:tcW w:type="dxa" w:w="3000"/>
            <w:tcMar>
              <w:top w:w="90" w:type="dxa"/>
              <w:start w:w="120" w:type="dxa"/>
              <w:bottom w:w="90" w:type="dxa"/>
              <w:end w:w="120" w:type="dxa"/>
            </w:tcMar>
            <w:vAlign w:val="center"/>
          </w:tcPr>
          <w:p>
            <w:pPr>
              <w:spacing w:after="0" w:line="252" w:lineRule="auto"/>
              <w:jc w:val="left"/>
            </w:pPr>
            <w:r>
              <w:rPr>
                <w:rFonts w:ascii="Calibri" w:hAnsi="Calibri"/>
                <w:color w:val="202124"/>
                <w:sz w:val="18"/>
              </w:rPr>
              <w:t>Institutional focal person</w:t>
            </w:r>
          </w:p>
        </w:tc>
        <w:tc>
          <w:tcPr>
            <w:tcW w:type="dxa" w:w="6461"/>
            <w:tcMar>
              <w:top w:w="90" w:type="dxa"/>
              <w:start w:w="120" w:type="dxa"/>
              <w:bottom w:w="90" w:type="dxa"/>
              <w:end w:w="120" w:type="dxa"/>
            </w:tcMar>
            <w:vAlign w:val="center"/>
          </w:tcPr>
          <w:p>
            <w:pPr>
              <w:spacing w:after="0" w:line="252" w:lineRule="auto"/>
              <w:jc w:val="left"/>
            </w:pPr>
            <w:r>
              <w:rPr>
                <w:rFonts w:ascii="Calibri" w:hAnsi="Calibri"/>
                <w:color w:val="202124"/>
                <w:sz w:val="18"/>
              </w:rPr>
              <w:t>[Name, title and office]</w:t>
            </w:r>
          </w:p>
        </w:tc>
      </w:tr>
      <w:tr>
        <w:trPr>
          <w:cantSplit/>
        </w:trPr>
        <w:tc>
          <w:tcPr>
            <w:tcW w:type="dxa" w:w="30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Institutional administrator</w:t>
            </w:r>
          </w:p>
        </w:tc>
        <w:tc>
          <w:tcPr>
            <w:tcW w:type="dxa" w:w="64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[Name and verified institutional email]</w:t>
            </w:r>
          </w:p>
        </w:tc>
      </w:tr>
      <w:tr>
        <w:trPr>
          <w:cantSplit/>
        </w:trPr>
        <w:tc>
          <w:tcPr>
            <w:tcW w:type="dxa" w:w="3000"/>
            <w:tcMar>
              <w:top w:w="90" w:type="dxa"/>
              <w:start w:w="120" w:type="dxa"/>
              <w:bottom w:w="90" w:type="dxa"/>
              <w:end w:w="120" w:type="dxa"/>
            </w:tcMar>
            <w:vAlign w:val="center"/>
          </w:tcPr>
          <w:p>
            <w:pPr>
              <w:spacing w:after="0" w:line="252" w:lineRule="auto"/>
              <w:jc w:val="left"/>
            </w:pPr>
            <w:r>
              <w:rPr>
                <w:rFonts w:ascii="Calibri" w:hAnsi="Calibri"/>
                <w:color w:val="202124"/>
                <w:sz w:val="18"/>
              </w:rPr>
              <w:t>Lecturers/mentors</w:t>
            </w:r>
          </w:p>
        </w:tc>
        <w:tc>
          <w:tcPr>
            <w:tcW w:type="dxa" w:w="6461"/>
            <w:tcMar>
              <w:top w:w="90" w:type="dxa"/>
              <w:start w:w="120" w:type="dxa"/>
              <w:bottom w:w="90" w:type="dxa"/>
              <w:end w:w="120" w:type="dxa"/>
            </w:tcMar>
            <w:vAlign w:val="center"/>
          </w:tcPr>
          <w:p>
            <w:pPr>
              <w:spacing w:after="0" w:line="252" w:lineRule="auto"/>
              <w:jc w:val="left"/>
            </w:pPr>
            <w:r>
              <w:rPr>
                <w:rFonts w:ascii="Calibri" w:hAnsi="Calibri"/>
                <w:color w:val="202124"/>
                <w:sz w:val="18"/>
              </w:rPr>
              <w:t>[Names, disciplines and proposed roles]</w:t>
            </w:r>
          </w:p>
        </w:tc>
      </w:tr>
      <w:tr>
        <w:trPr>
          <w:cantSplit/>
        </w:trPr>
        <w:tc>
          <w:tcPr>
            <w:tcW w:type="dxa" w:w="30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Peer reviewers</w:t>
            </w:r>
          </w:p>
        </w:tc>
        <w:tc>
          <w:tcPr>
            <w:tcW w:type="dxa" w:w="64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[Names, expertise and affiliations]</w:t>
            </w:r>
          </w:p>
        </w:tc>
      </w:tr>
      <w:tr>
        <w:trPr>
          <w:cantSplit/>
        </w:trPr>
        <w:tc>
          <w:tcPr>
            <w:tcW w:type="dxa" w:w="3000"/>
            <w:tcMar>
              <w:top w:w="90" w:type="dxa"/>
              <w:start w:w="120" w:type="dxa"/>
              <w:bottom w:w="90" w:type="dxa"/>
              <w:end w:w="120" w:type="dxa"/>
            </w:tcMar>
            <w:vAlign w:val="center"/>
          </w:tcPr>
          <w:p>
            <w:pPr>
              <w:spacing w:after="0" w:line="252" w:lineRule="auto"/>
              <w:jc w:val="left"/>
            </w:pPr>
            <w:r>
              <w:rPr>
                <w:rFonts w:ascii="Calibri" w:hAnsi="Calibri"/>
                <w:color w:val="202124"/>
                <w:sz w:val="18"/>
              </w:rPr>
              <w:t>Student/researcher cohort</w:t>
            </w:r>
          </w:p>
        </w:tc>
        <w:tc>
          <w:tcPr>
            <w:tcW w:type="dxa" w:w="6461"/>
            <w:tcMar>
              <w:top w:w="90" w:type="dxa"/>
              <w:start w:w="120" w:type="dxa"/>
              <w:bottom w:w="90" w:type="dxa"/>
              <w:end w:w="120" w:type="dxa"/>
            </w:tcMar>
            <w:vAlign w:val="center"/>
          </w:tcPr>
          <w:p>
            <w:pPr>
              <w:spacing w:after="0" w:line="252" w:lineRule="auto"/>
              <w:jc w:val="left"/>
            </w:pPr>
            <w:r>
              <w:rPr>
                <w:rFonts w:ascii="Calibri" w:hAnsi="Calibri"/>
                <w:color w:val="202124"/>
                <w:sz w:val="18"/>
              </w:rPr>
              <w:t>[Number, level and programme]</w:t>
            </w:r>
          </w:p>
        </w:tc>
      </w:tr>
      <w:tr>
        <w:trPr>
          <w:cantSplit/>
        </w:trPr>
        <w:tc>
          <w:tcPr>
            <w:tcW w:type="dxa" w:w="30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Pilot period</w:t>
            </w:r>
          </w:p>
        </w:tc>
        <w:tc>
          <w:tcPr>
            <w:tcW w:type="dxa" w:w="64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[Start and end dates]</w:t>
            </w:r>
          </w:p>
        </w:tc>
      </w:tr>
      <w:tr>
        <w:trPr>
          <w:cantSplit/>
        </w:trPr>
        <w:tc>
          <w:tcPr>
            <w:tcW w:type="dxa" w:w="3000"/>
            <w:tcMar>
              <w:top w:w="90" w:type="dxa"/>
              <w:start w:w="120" w:type="dxa"/>
              <w:bottom w:w="90" w:type="dxa"/>
              <w:end w:w="120" w:type="dxa"/>
            </w:tcMar>
            <w:vAlign w:val="center"/>
          </w:tcPr>
          <w:p>
            <w:pPr>
              <w:spacing w:after="0" w:line="252" w:lineRule="auto"/>
              <w:jc w:val="left"/>
            </w:pPr>
            <w:r>
              <w:rPr>
                <w:rFonts w:ascii="Calibri" w:hAnsi="Calibri"/>
                <w:color w:val="202124"/>
                <w:sz w:val="18"/>
              </w:rPr>
              <w:t>Priority research needs</w:t>
            </w:r>
          </w:p>
        </w:tc>
        <w:tc>
          <w:tcPr>
            <w:tcW w:type="dxa" w:w="6461"/>
            <w:tcMar>
              <w:top w:w="90" w:type="dxa"/>
              <w:start w:w="120" w:type="dxa"/>
              <w:bottom w:w="90" w:type="dxa"/>
              <w:end w:w="120" w:type="dxa"/>
            </w:tcMar>
            <w:vAlign w:val="center"/>
          </w:tcPr>
          <w:p>
            <w:pPr>
              <w:spacing w:after="0" w:line="252" w:lineRule="auto"/>
              <w:jc w:val="left"/>
            </w:pPr>
            <w:r>
              <w:rPr>
                <w:rFonts w:ascii="Calibri" w:hAnsi="Calibri"/>
                <w:color w:val="202124"/>
                <w:sz w:val="18"/>
              </w:rPr>
              <w:t>[Topics, methods, writing, review, repository or other]</w:t>
            </w:r>
          </w:p>
        </w:tc>
      </w:tr>
      <w:tr>
        <w:trPr>
          <w:cantSplit/>
        </w:trPr>
        <w:tc>
          <w:tcPr>
            <w:tcW w:type="dxa" w:w="30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Institutional policies to align</w:t>
            </w:r>
          </w:p>
        </w:tc>
        <w:tc>
          <w:tcPr>
            <w:tcW w:type="dxa" w:w="64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[Ethics, data protection, IP, supervision, branding, procurement]</w:t>
            </w:r>
          </w:p>
        </w:tc>
      </w:tr>
      <w:tr>
        <w:trPr>
          <w:cantSplit/>
        </w:trPr>
        <w:tc>
          <w:tcPr>
            <w:tcW w:type="dxa" w:w="3000"/>
            <w:tcMar>
              <w:top w:w="90" w:type="dxa"/>
              <w:start w:w="120" w:type="dxa"/>
              <w:bottom w:w="90" w:type="dxa"/>
              <w:end w:w="120" w:type="dxa"/>
            </w:tcMar>
            <w:vAlign w:val="center"/>
          </w:tcPr>
          <w:p>
            <w:pPr>
              <w:spacing w:after="0" w:line="252" w:lineRule="auto"/>
              <w:jc w:val="left"/>
            </w:pPr>
            <w:r>
              <w:rPr>
                <w:rFonts w:ascii="Calibri" w:hAnsi="Calibri"/>
                <w:color w:val="202124"/>
                <w:sz w:val="18"/>
              </w:rPr>
              <w:t>Agreed indicators</w:t>
            </w:r>
          </w:p>
        </w:tc>
        <w:tc>
          <w:tcPr>
            <w:tcW w:type="dxa" w:w="6461"/>
            <w:tcMar>
              <w:top w:w="90" w:type="dxa"/>
              <w:start w:w="120" w:type="dxa"/>
              <w:bottom w:w="90" w:type="dxa"/>
              <w:end w:w="120" w:type="dxa"/>
            </w:tcMar>
            <w:vAlign w:val="center"/>
          </w:tcPr>
          <w:p>
            <w:pPr>
              <w:spacing w:after="0" w:line="252" w:lineRule="auto"/>
              <w:jc w:val="left"/>
            </w:pPr>
            <w:r>
              <w:rPr>
                <w:rFonts w:ascii="Calibri" w:hAnsi="Calibri"/>
                <w:color w:val="202124"/>
                <w:sz w:val="18"/>
              </w:rPr>
              <w:t>[Insert final pilot indicators and targets]</w:t>
            </w:r>
          </w:p>
        </w:tc>
      </w:tr>
    </w:tbl>
    <w:p>
      <w:pPr>
        <w:widowControl/>
        <w:spacing w:after="0"/>
      </w:pPr>
    </w:p>
    <w:p>
      <w:pPr>
        <w:pStyle w:val="Heading1"/>
        <w:widowControl/>
      </w:pPr>
      <w:r>
        <w:t>Appendix B: Documents to Follow Institutional Approval</w:t>
      </w:r>
    </w:p>
    <w:p>
      <w:pPr>
        <w:pStyle w:val="ListBullet"/>
        <w:widowControl/>
        <w:spacing w:after="80" w:line="290" w:lineRule="auto"/>
        <w:ind w:left="540" w:hanging="279"/>
      </w:pPr>
      <w:r>
        <w:t>Formal institutional invitation or letter of intent</w:t>
      </w:r>
    </w:p>
    <w:p>
      <w:pPr>
        <w:pStyle w:val="ListBullet"/>
        <w:widowControl/>
        <w:spacing w:after="80" w:line="290" w:lineRule="auto"/>
        <w:ind w:left="540" w:hanging="279"/>
      </w:pPr>
      <w:r>
        <w:t>Memorandum of Understanding or other approved agreement</w:t>
      </w:r>
    </w:p>
    <w:p>
      <w:pPr>
        <w:pStyle w:val="ListBullet"/>
        <w:widowControl/>
        <w:spacing w:after="80" w:line="290" w:lineRule="auto"/>
        <w:ind w:left="540" w:hanging="279"/>
      </w:pPr>
      <w:r>
        <w:t>Pilot implementation schedule and success-indicator matrix</w:t>
      </w:r>
    </w:p>
    <w:p>
      <w:pPr>
        <w:pStyle w:val="ListBullet"/>
        <w:widowControl/>
        <w:spacing w:after="80" w:line="290" w:lineRule="auto"/>
        <w:ind w:left="540" w:hanging="279"/>
      </w:pPr>
      <w:r>
        <w:t>Institutional administrator appointment and confidentiality undertaking</w:t>
      </w:r>
    </w:p>
    <w:p>
      <w:pPr>
        <w:pStyle w:val="ListBullet"/>
        <w:widowControl/>
        <w:spacing w:after="80" w:line="290" w:lineRule="auto"/>
        <w:ind w:left="540" w:hanging="279"/>
      </w:pPr>
      <w:r>
        <w:t>Lecturer invitation, role description and code of conduct</w:t>
      </w:r>
    </w:p>
    <w:p>
      <w:pPr>
        <w:pStyle w:val="ListBullet"/>
        <w:widowControl/>
        <w:spacing w:after="80" w:line="290" w:lineRule="auto"/>
        <w:ind w:left="540" w:hanging="279"/>
      </w:pPr>
      <w:r>
        <w:t>Peer reviewer agreement, expertise profile, confidentiality and conflict-of-interest declarations</w:t>
      </w:r>
    </w:p>
    <w:p>
      <w:pPr>
        <w:pStyle w:val="ListBullet"/>
        <w:widowControl/>
        <w:spacing w:after="80" w:line="290" w:lineRule="auto"/>
        <w:ind w:left="540" w:hanging="279"/>
      </w:pPr>
      <w:r>
        <w:t>Participant information and acceptance materials</w:t>
      </w:r>
    </w:p>
    <w:p>
      <w:pPr>
        <w:pStyle w:val="ListBullet"/>
        <w:widowControl/>
        <w:spacing w:after="80" w:line="290" w:lineRule="auto"/>
        <w:ind w:left="540" w:hanging="279"/>
      </w:pPr>
      <w:r>
        <w:t>Data-protection and incident-response schedule, where required</w:t>
      </w:r>
    </w:p>
    <w:p>
      <w:pPr>
        <w:pStyle w:val="ListBullet"/>
        <w:widowControl/>
        <w:spacing w:after="80" w:line="290" w:lineRule="auto"/>
        <w:ind w:left="540" w:hanging="279"/>
      </w:pPr>
      <w:r>
        <w:t>Branding, communications and publication approval protocol</w:t>
      </w:r>
    </w:p>
    <w:p>
      <w:pPr>
        <w:widowControl/>
      </w:pPr>
      <w:r>
        <w:br w:type="page"/>
      </w:r>
    </w:p>
    <w:p>
      <w:pPr>
        <w:pStyle w:val="Heading1"/>
        <w:widowControl/>
      </w:pPr>
      <w:r>
        <w:t>Appendix C: Non-binding Acknowledgement of Interest</w:t>
      </w:r>
    </w:p>
    <w:p>
      <w:pPr>
        <w:widowControl/>
      </w:pPr>
      <w:r>
        <w:rPr>
          <w:i w:val="0"/>
        </w:rPr>
        <w:t>This acknowledgement may be used to indicate interest in further discussion. It is not an MOU, contract, procurement commitment or approval to use either party’s name or logo publicly.</w:t>
      </w:r>
    </w:p>
    <w:tbl>
      <w:tblPr>
        <w:tblW w:type="dxa" w:w="9461"/>
        <w:jc w:val="center"/>
        <w:tblLayout w:type="fixed"/>
        <w:tblLook w:firstColumn="1" w:firstRow="1" w:lastColumn="0" w:lastRow="0" w:noHBand="0" w:noVBand="1" w:val="04A0"/>
        <w:tblBorders>
          <w:top w:val="single" w:sz="5" w:color="D6DEE5"/>
          <w:left w:val="single" w:sz="5" w:color="D6DEE5"/>
          <w:bottom w:val="single" w:sz="5" w:color="D6DEE5"/>
          <w:right w:val="single" w:sz="5" w:color="D6DEE5"/>
          <w:insideH w:val="single" w:sz="5" w:color="D6DEE5"/>
          <w:insideV w:val="single" w:sz="5" w:color="D6DEE5"/>
        </w:tblBorders>
        <w:tblInd w:type="dxa" w:w="120"/>
      </w:tblPr>
      <w:tblGrid>
        <w:gridCol w:w="3000"/>
        <w:gridCol w:w="6461"/>
      </w:tblGrid>
      <w:tr>
        <w:trPr>
          <w:tblHeader w:val="true"/>
          <w:cantSplit/>
        </w:trPr>
        <w:tc>
          <w:tcPr>
            <w:tcW w:type="dxa" w:w="3000"/>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8"/>
              </w:rPr>
              <w:t>Institutional Response</w:t>
            </w:r>
          </w:p>
        </w:tc>
        <w:tc>
          <w:tcPr>
            <w:tcW w:type="dxa" w:w="6461"/>
            <w:shd w:fill="17365D"/>
            <w:tcMar>
              <w:top w:w="95" w:type="dxa"/>
              <w:start w:w="120" w:type="dxa"/>
              <w:bottom w:w="95" w:type="dxa"/>
              <w:end w:w="120" w:type="dxa"/>
            </w:tcMar>
            <w:vAlign w:val="center"/>
          </w:tcPr>
          <w:p>
            <w:pPr>
              <w:spacing w:after="0" w:line="240" w:lineRule="auto"/>
              <w:jc w:val="center"/>
            </w:pPr>
            <w:r>
              <w:rPr>
                <w:rFonts w:ascii="Calibri" w:hAnsi="Calibri"/>
                <w:b/>
                <w:color w:val="FFFFFF"/>
                <w:sz w:val="18"/>
              </w:rPr>
              <w:t>Please Complete</w:t>
            </w:r>
          </w:p>
        </w:tc>
      </w:tr>
      <w:tr>
        <w:trPr>
          <w:cantSplit/>
        </w:trPr>
        <w:tc>
          <w:tcPr>
            <w:tcW w:type="dxa" w:w="3000"/>
            <w:tcMar>
              <w:top w:w="90" w:type="dxa"/>
              <w:start w:w="120" w:type="dxa"/>
              <w:bottom w:w="90" w:type="dxa"/>
              <w:end w:w="120" w:type="dxa"/>
            </w:tcMar>
            <w:vAlign w:val="center"/>
          </w:tcPr>
          <w:p>
            <w:pPr>
              <w:spacing w:after="0" w:line="252" w:lineRule="auto"/>
              <w:jc w:val="left"/>
            </w:pPr>
            <w:r>
              <w:rPr>
                <w:rFonts w:ascii="Calibri" w:hAnsi="Calibri"/>
                <w:color w:val="202124"/>
                <w:sz w:val="18"/>
              </w:rPr>
              <w:t>Institution</w:t>
            </w:r>
          </w:p>
        </w:tc>
        <w:tc>
          <w:tcPr>
            <w:tcW w:type="dxa" w:w="6461"/>
            <w:tcMar>
              <w:top w:w="90" w:type="dxa"/>
              <w:start w:w="120" w:type="dxa"/>
              <w:bottom w:w="90" w:type="dxa"/>
              <w:end w:w="120" w:type="dxa"/>
            </w:tcMar>
            <w:vAlign w:val="center"/>
          </w:tcPr>
          <w:p>
            <w:pPr>
              <w:spacing w:after="0" w:line="252" w:lineRule="auto"/>
              <w:jc w:val="left"/>
            </w:pPr>
            <w:r>
              <w:rPr>
                <w:rFonts w:ascii="Calibri" w:hAnsi="Calibri"/>
                <w:color w:val="202124"/>
                <w:sz w:val="18"/>
              </w:rPr>
            </w:r>
          </w:p>
        </w:tc>
      </w:tr>
      <w:tr>
        <w:trPr>
          <w:cantSplit/>
        </w:trPr>
        <w:tc>
          <w:tcPr>
            <w:tcW w:type="dxa" w:w="30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Authorised representative</w:t>
            </w:r>
          </w:p>
        </w:tc>
        <w:tc>
          <w:tcPr>
            <w:tcW w:type="dxa" w:w="64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r>
          </w:p>
        </w:tc>
      </w:tr>
      <w:tr>
        <w:trPr>
          <w:cantSplit/>
        </w:trPr>
        <w:tc>
          <w:tcPr>
            <w:tcW w:type="dxa" w:w="3000"/>
            <w:tcMar>
              <w:top w:w="90" w:type="dxa"/>
              <w:start w:w="120" w:type="dxa"/>
              <w:bottom w:w="90" w:type="dxa"/>
              <w:end w:w="120" w:type="dxa"/>
            </w:tcMar>
            <w:vAlign w:val="center"/>
          </w:tcPr>
          <w:p>
            <w:pPr>
              <w:spacing w:after="0" w:line="252" w:lineRule="auto"/>
              <w:jc w:val="left"/>
            </w:pPr>
            <w:r>
              <w:rPr>
                <w:rFonts w:ascii="Calibri" w:hAnsi="Calibri"/>
                <w:color w:val="202124"/>
                <w:sz w:val="18"/>
              </w:rPr>
              <w:t>Title/office</w:t>
            </w:r>
          </w:p>
        </w:tc>
        <w:tc>
          <w:tcPr>
            <w:tcW w:type="dxa" w:w="6461"/>
            <w:tcMar>
              <w:top w:w="90" w:type="dxa"/>
              <w:start w:w="120" w:type="dxa"/>
              <w:bottom w:w="90" w:type="dxa"/>
              <w:end w:w="120" w:type="dxa"/>
            </w:tcMar>
            <w:vAlign w:val="center"/>
          </w:tcPr>
          <w:p>
            <w:pPr>
              <w:spacing w:after="0" w:line="252" w:lineRule="auto"/>
              <w:jc w:val="left"/>
            </w:pPr>
            <w:r>
              <w:rPr>
                <w:rFonts w:ascii="Calibri" w:hAnsi="Calibri"/>
                <w:color w:val="202124"/>
                <w:sz w:val="18"/>
              </w:rPr>
            </w:r>
          </w:p>
        </w:tc>
      </w:tr>
      <w:tr>
        <w:trPr>
          <w:cantSplit/>
        </w:trPr>
        <w:tc>
          <w:tcPr>
            <w:tcW w:type="dxa" w:w="30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Email and telephone</w:t>
            </w:r>
          </w:p>
        </w:tc>
        <w:tc>
          <w:tcPr>
            <w:tcW w:type="dxa" w:w="64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r>
          </w:p>
        </w:tc>
      </w:tr>
      <w:tr>
        <w:trPr>
          <w:cantSplit/>
        </w:trPr>
        <w:tc>
          <w:tcPr>
            <w:tcW w:type="dxa" w:w="3000"/>
            <w:tcMar>
              <w:top w:w="90" w:type="dxa"/>
              <w:start w:w="120" w:type="dxa"/>
              <w:bottom w:w="90" w:type="dxa"/>
              <w:end w:w="120" w:type="dxa"/>
            </w:tcMar>
            <w:vAlign w:val="center"/>
          </w:tcPr>
          <w:p>
            <w:pPr>
              <w:spacing w:after="0" w:line="252" w:lineRule="auto"/>
              <w:jc w:val="left"/>
            </w:pPr>
            <w:r>
              <w:rPr>
                <w:rFonts w:ascii="Calibri" w:hAnsi="Calibri"/>
                <w:color w:val="202124"/>
                <w:sz w:val="18"/>
              </w:rPr>
              <w:t>Response</w:t>
            </w:r>
          </w:p>
        </w:tc>
        <w:tc>
          <w:tcPr>
            <w:tcW w:type="dxa" w:w="6461"/>
            <w:tcMar>
              <w:top w:w="90" w:type="dxa"/>
              <w:start w:w="120" w:type="dxa"/>
              <w:bottom w:w="90" w:type="dxa"/>
              <w:end w:w="120" w:type="dxa"/>
            </w:tcMar>
            <w:vAlign w:val="center"/>
          </w:tcPr>
          <w:p>
            <w:pPr>
              <w:spacing w:after="0" w:line="252" w:lineRule="auto"/>
              <w:jc w:val="left"/>
            </w:pPr>
            <w:r>
              <w:rPr>
                <w:rFonts w:ascii="Calibri" w:hAnsi="Calibri"/>
                <w:color w:val="202124"/>
                <w:sz w:val="18"/>
              </w:rPr>
              <w:t>☐ Interested in an exploratory meeting   ☐ Request further information   ☐ Not proceeding at this time</w:t>
            </w:r>
          </w:p>
        </w:tc>
      </w:tr>
      <w:tr>
        <w:trPr>
          <w:cantSplit/>
        </w:trPr>
        <w:tc>
          <w:tcPr>
            <w:tcW w:type="dxa" w:w="30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Preferred meeting period</w:t>
            </w:r>
          </w:p>
        </w:tc>
        <w:tc>
          <w:tcPr>
            <w:tcW w:type="dxa" w:w="64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r>
          </w:p>
        </w:tc>
      </w:tr>
      <w:tr>
        <w:trPr>
          <w:cantSplit/>
        </w:trPr>
        <w:tc>
          <w:tcPr>
            <w:tcW w:type="dxa" w:w="3000"/>
            <w:tcMar>
              <w:top w:w="90" w:type="dxa"/>
              <w:start w:w="120" w:type="dxa"/>
              <w:bottom w:w="90" w:type="dxa"/>
              <w:end w:w="120" w:type="dxa"/>
            </w:tcMar>
            <w:vAlign w:val="center"/>
          </w:tcPr>
          <w:p>
            <w:pPr>
              <w:spacing w:after="0" w:line="252" w:lineRule="auto"/>
              <w:jc w:val="left"/>
            </w:pPr>
            <w:r>
              <w:rPr>
                <w:rFonts w:ascii="Calibri" w:hAnsi="Calibri"/>
                <w:color w:val="202124"/>
                <w:sz w:val="18"/>
              </w:rPr>
              <w:t>Comments</w:t>
            </w:r>
          </w:p>
        </w:tc>
        <w:tc>
          <w:tcPr>
            <w:tcW w:type="dxa" w:w="6461"/>
            <w:tcMar>
              <w:top w:w="90" w:type="dxa"/>
              <w:start w:w="120" w:type="dxa"/>
              <w:bottom w:w="90" w:type="dxa"/>
              <w:end w:w="120" w:type="dxa"/>
            </w:tcMar>
            <w:vAlign w:val="center"/>
          </w:tcPr>
          <w:p>
            <w:pPr>
              <w:spacing w:after="0" w:line="252" w:lineRule="auto"/>
              <w:jc w:val="left"/>
            </w:pPr>
            <w:r>
              <w:rPr>
                <w:rFonts w:ascii="Calibri" w:hAnsi="Calibri"/>
                <w:color w:val="202124"/>
                <w:sz w:val="18"/>
              </w:rPr>
            </w:r>
          </w:p>
        </w:tc>
      </w:tr>
      <w:tr>
        <w:trPr>
          <w:cantSplit/>
        </w:trPr>
        <w:tc>
          <w:tcPr>
            <w:tcW w:type="dxa" w:w="3000"/>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t>Signature/date</w:t>
            </w:r>
          </w:p>
        </w:tc>
        <w:tc>
          <w:tcPr>
            <w:tcW w:type="dxa" w:w="6461"/>
            <w:shd w:fill="F3F7FA"/>
            <w:tcMar>
              <w:top w:w="90" w:type="dxa"/>
              <w:start w:w="120" w:type="dxa"/>
              <w:bottom w:w="90" w:type="dxa"/>
              <w:end w:w="120" w:type="dxa"/>
            </w:tcMar>
            <w:vAlign w:val="center"/>
          </w:tcPr>
          <w:p>
            <w:pPr>
              <w:spacing w:after="0" w:line="252" w:lineRule="auto"/>
              <w:jc w:val="left"/>
            </w:pPr>
            <w:r>
              <w:rPr>
                <w:rFonts w:ascii="Calibri" w:hAnsi="Calibri"/>
                <w:color w:val="202124"/>
                <w:sz w:val="18"/>
              </w:rPr>
            </w:r>
          </w:p>
        </w:tc>
      </w:tr>
    </w:tbl>
    <w:p>
      <w:pPr>
        <w:widowControl/>
        <w:spacing w:after="0"/>
      </w:pPr>
    </w:p>
    <w:p>
      <w:pPr>
        <w:pStyle w:val="CoverKicker"/>
        <w:widowControl/>
        <w:spacing w:before="360" w:after="40"/>
        <w:jc w:val="center"/>
      </w:pPr>
      <w:r>
        <w:rPr>
          <w:i w:val="0"/>
        </w:rPr>
        <w:t>END OF PROPOSAL</w:t>
      </w:r>
    </w:p>
    <w:p>
      <w:pPr>
        <w:pStyle w:val="CoverMeta"/>
        <w:widowControl/>
        <w:jc w:val="center"/>
      </w:pPr>
      <w:r>
        <w:rPr>
          <w:i w:val="0"/>
        </w:rPr>
        <w:t>ResearchBridge Africa • From Research Idea to Published Impact</w:t>
      </w:r>
    </w:p>
    <w:sectPr w:rsidR="00FC693F" w:rsidRPr="0006063C" w:rsidSect="00034616">
      <w:headerReference w:type="default" r:id="rId9"/>
      <w:footerReference w:type="default" r:id="rId10"/>
      <w:pgSz w:w="11909" w:h="16834"/>
      <w:pgMar w:top="1152" w:right="1224" w:bottom="1080" w:left="1224"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Calibri" w:hAnsi="Calibri"/>
        <w:color w:val="5A6772"/>
        <w:sz w:val="16"/>
      </w:rPr>
      <w:t xml:space="preserve">ResearchBridge Africa  |  From Research Idea to Published Impact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Calibri" w:hAnsi="Calibri"/>
        <w:b/>
        <w:color w:val="159A9C"/>
        <w:sz w:val="17"/>
      </w:rPr>
      <w:t>INSTITUTIONAL PARTNERSHIP PROPOSAL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lvlJc w:val="left"/>
      <w:pPr>
        <w:ind w:left="540" w:hanging="279"/>
      </w:pPr>
    </w:lvl>
  </w:abstractNum>
  <w:num w:numId="10">
    <w:abstractNumId w:val="9"/>
  </w:num>
  <w:abstractNum w:abstractNumId="10">
    <w:multiLevelType w:val="singleLevel"/>
    <w:lvl w:ilvl="0">
      <w:start w:val="1"/>
      <w:numFmt w:val="decimal"/>
      <w:lvlText w:val="%1."/>
      <w:lvlJc w:val="left"/>
      <w:pPr>
        <w:ind w:left="540" w:hanging="279"/>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jc w:val="both"/>
    </w:pPr>
    <w:rPr>
      <w:rFonts w:ascii="Calibri" w:hAnsi="Calibri"/>
      <w:color w:val="20212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5B6"/>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59A9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90" w:lineRule="auto"/>
      <w:ind w:left="540" w:hanging="279"/>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90" w:lineRule="auto"/>
      <w:ind w:left="540" w:hanging="279"/>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Kicker">
    <w:name w:val="Cover Kicker"/>
    <w:rPr>
      <w:rFonts w:ascii="Calibri" w:hAnsi="Calibri"/>
      <w:b/>
      <w:color w:val="159A9C"/>
      <w:sz w:val="20"/>
    </w:rPr>
  </w:style>
  <w:style w:type="paragraph" w:customStyle="1" w:styleId="CoverTitle">
    <w:name w:val="Cover Title"/>
    <w:rPr>
      <w:rFonts w:ascii="Calibri" w:hAnsi="Calibri"/>
      <w:b/>
      <w:color w:val="17365D"/>
      <w:sz w:val="54"/>
    </w:rPr>
  </w:style>
  <w:style w:type="paragraph" w:customStyle="1" w:styleId="CoverSubtitle">
    <w:name w:val="Cover Subtitle"/>
    <w:rPr>
      <w:rFonts w:ascii="Calibri" w:hAnsi="Calibri"/>
      <w:b w:val="0"/>
      <w:color w:val="2E75B6"/>
      <w:sz w:val="30"/>
    </w:rPr>
  </w:style>
  <w:style w:type="paragraph" w:customStyle="1" w:styleId="CoverMeta">
    <w:name w:val="Cover Meta"/>
    <w:rPr>
      <w:rFonts w:ascii="Calibri" w:hAnsi="Calibri"/>
      <w:b w:val="0"/>
      <w:color w:val="5A6772"/>
      <w:sz w:val="20"/>
    </w:rPr>
  </w:style>
  <w:style w:type="paragraph" w:customStyle="1" w:styleId="LeadStatement">
    <w:name w:val="Lead Statement"/>
    <w:rPr>
      <w:rFonts w:ascii="Calibri" w:hAnsi="Calibri"/>
      <w:b/>
      <w:color w:val="17365D"/>
      <w:sz w:val="2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ResearchBridge Africa Institutional Partnership Proposal</dc:title>
  <dc:subject>Proposal for a controlled institutional research-development partnership</dc:subject>
  <dc:creator>ResearchBridge Africa</dc:creator>
  <cp:keywords>ResearchBridge Africa, institutional partnership, research development, mentorship, peer review, publication</cp:keywords>
  <dc:description>Prepared for institutional engagement. Non-binding until superseded by an approved agreement.</dc:description>
  <cp:lastModifiedBy/>
  <cp:revision>1</cp:revision>
  <dcterms:created xsi:type="dcterms:W3CDTF">2013-12-23T23:15:00Z</dcterms:created>
  <dcterms:modified xsi:type="dcterms:W3CDTF">2013-12-23T23:15:00Z</dcterms:modified>
  <cp:category/>
</cp:coreProperties>
</file>