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p>
    <w:p>
      <w:pPr>
        <w:spacing w:after="100"/>
      </w:pPr>
    </w:p>
    <w:p>
      <w:pPr>
        <w:spacing w:after="100"/>
      </w:pPr>
    </w:p>
    <w:p>
      <w:pPr>
        <w:spacing w:after="480"/>
        <w:jc w:val="center"/>
      </w:pPr>
      <w:r>
        <w:drawing>
          <wp:inline xmlns:a="http://schemas.openxmlformats.org/drawingml/2006/main" xmlns:pic="http://schemas.openxmlformats.org/drawingml/2006/picture">
            <wp:extent cx="3063240" cy="2205951"/>
            <wp:docPr id="1" name="Picture 1"/>
            <wp:cNvGraphicFramePr>
              <a:graphicFrameLocks noChangeAspect="1"/>
            </wp:cNvGraphicFramePr>
            <a:graphic>
              <a:graphicData uri="http://schemas.openxmlformats.org/drawingml/2006/picture">
                <pic:pic>
                  <pic:nvPicPr>
                    <pic:cNvPr id="0" name="ResearchBridge_Africa_Logo_Stacked_Transparent_Cropped.png"/>
                    <pic:cNvPicPr/>
                  </pic:nvPicPr>
                  <pic:blipFill>
                    <a:blip r:embed="rId13"/>
                    <a:stretch>
                      <a:fillRect/>
                    </a:stretch>
                  </pic:blipFill>
                  <pic:spPr>
                    <a:xfrm>
                      <a:off x="0" y="0"/>
                      <a:ext cx="3063240" cy="2205951"/>
                    </a:xfrm>
                    <a:prstGeom prst="rect"/>
                  </pic:spPr>
                </pic:pic>
              </a:graphicData>
            </a:graphic>
          </wp:inline>
        </w:drawing>
      </w:r>
    </w:p>
    <w:p>
      <w:pPr>
        <w:spacing w:after="200"/>
        <w:jc w:val="center"/>
      </w:pPr>
      <w:r>
        <w:rPr>
          <w:rFonts w:ascii="Aptos Display" w:hAnsi="Aptos Display"/>
          <w:b/>
          <w:color w:val="17365D"/>
          <w:sz w:val="46"/>
        </w:rPr>
        <w:t>LECTURER INVITATION</w:t>
        <w:br/>
        <w:t>AND MEMBERSHIP PACK</w:t>
      </w:r>
    </w:p>
    <w:p>
      <w:pPr>
        <w:spacing w:after="680"/>
        <w:jc w:val="center"/>
      </w:pPr>
      <w:r>
        <w:rPr>
          <w:rFonts w:ascii="Aptos" w:hAnsi="Aptos"/>
          <w:color w:val="1B7F86"/>
          <w:sz w:val="23"/>
        </w:rPr>
        <w:t>Mentorship • Topic Consultation • Research Learning • Editorial Support</w:t>
      </w:r>
    </w:p>
    <w:tbl>
      <w:tblPr>
        <w:tblW w:type="dxa" w:w="9638"/>
        <w:jc w:val="left"/>
        <w:tblLayout w:type="fixed"/>
        <w:tblLook w:firstColumn="1" w:firstRow="1" w:lastColumn="0" w:lastRow="0" w:noHBand="0" w:noVBand="1" w:val="04A0"/>
        <w:tblInd w:w="120" w:type="dxa"/>
      </w:tblPr>
      <w:tblGrid>
        <w:gridCol w:w="9638"/>
      </w:tblGrid>
      <w:tr>
        <w:tc>
          <w:tcPr>
            <w:tcW w:type="dxa" w:w="9638"/>
            <w:tcMar>
              <w:top w:w="100" w:type="dxa"/>
              <w:start w:w="120" w:type="dxa"/>
              <w:bottom w:w="100" w:type="dxa"/>
              <w:end w:w="120" w:type="dxa"/>
            </w:tcMar>
            <w:vAlign w:val="center"/>
            <w:shd w:fill="F3F7FA"/>
            <w:tcBorders>
              <w:top w:val="single" w:sz="2" w:color="F3F7FA"/>
              <w:left w:val="single" w:sz="2" w:color="F3F7FA"/>
              <w:bottom w:val="single" w:sz="2" w:color="F3F7FA"/>
              <w:right w:val="single" w:sz="2" w:color="F3F7FA"/>
              <w:insideH w:val="single" w:sz="2" w:color="F3F7FA"/>
              <w:insideV w:val="single" w:sz="2" w:color="F3F7FA"/>
            </w:tcBorders>
          </w:tcPr>
          <w:p>
            <w:pPr>
              <w:spacing w:after="0"/>
            </w:pPr>
            <w:r>
              <w:rPr>
                <w:rFonts w:ascii="Aptos" w:hAnsi="Aptos"/>
                <w:b/>
                <w:color w:val="17365D"/>
              </w:rPr>
              <w:t xml:space="preserve">Purpose  </w:t>
            </w:r>
            <w:r>
              <w:rPr>
                <w:rFonts w:ascii="Aptos" w:hAnsi="Aptos"/>
                <w:color w:val="1F2933"/>
              </w:rPr>
              <w:t>To invite qualified lecturers to join a verified community that guides students and emerging researchers from research idea to credible scholarly impact.</w:t>
            </w:r>
          </w:p>
        </w:tc>
      </w:tr>
    </w:tbl>
    <w:p>
      <w:pPr>
        <w:spacing w:after="0"/>
      </w:pPr>
    </w:p>
    <w:p>
      <w:pPr>
        <w:spacing w:before="840"/>
        <w:jc w:val="center"/>
      </w:pPr>
      <w:r>
        <w:rPr>
          <w:rFonts w:ascii="Aptos" w:hAnsi="Aptos"/>
          <w:b/>
          <w:i/>
          <w:color w:val="C89B2C"/>
          <w:sz w:val="24"/>
        </w:rPr>
        <w:t>From Research Idea to Published Impact</w:t>
      </w:r>
    </w:p>
    <w:p>
      <w:pPr>
        <w:jc w:val="center"/>
      </w:pPr>
      <w:r>
        <w:rPr>
          <w:rFonts w:ascii="Aptos" w:hAnsi="Aptos"/>
          <w:color w:val="5F6B76"/>
          <w:sz w:val="19"/>
        </w:rPr>
        <w:t>Master Template  |  July 2026  |  Ghana</w:t>
      </w:r>
    </w:p>
    <w:p>
      <w:r>
        <w:br w:type="page"/>
      </w:r>
    </w:p>
    <w:p>
      <w:pPr>
        <w:pStyle w:val="Heading1"/>
        <w:keepNext/>
      </w:pPr>
      <w:r>
        <w:t>1. Formal Invitation to Lecturer Membership</w:t>
      </w:r>
    </w:p>
    <w:p>
      <w:pPr>
        <w:spacing w:after="30"/>
      </w:pPr>
      <w:r>
        <w:rPr>
          <w:rFonts w:ascii="Aptos" w:hAnsi="Aptos"/>
          <w:color w:val="5F6B76"/>
          <w:sz w:val="19"/>
        </w:rPr>
        <w:t>[Date]</w:t>
      </w:r>
    </w:p>
    <w:p>
      <w:pPr>
        <w:spacing w:after="30"/>
      </w:pPr>
      <w:r>
        <w:rPr>
          <w:rFonts w:ascii="Aptos" w:hAnsi="Aptos"/>
          <w:color w:val="5F6B76"/>
          <w:sz w:val="19"/>
        </w:rPr>
        <w:t>[Name of Lecturer]</w:t>
      </w:r>
    </w:p>
    <w:p>
      <w:pPr>
        <w:spacing w:after="30"/>
      </w:pPr>
      <w:r>
        <w:rPr>
          <w:rFonts w:ascii="Aptos" w:hAnsi="Aptos"/>
          <w:color w:val="5F6B76"/>
          <w:sz w:val="19"/>
        </w:rPr>
        <w:t>[Academic/Professional Title]</w:t>
      </w:r>
    </w:p>
    <w:p>
      <w:pPr>
        <w:spacing w:after="30"/>
      </w:pPr>
      <w:r>
        <w:rPr>
          <w:rFonts w:ascii="Aptos" w:hAnsi="Aptos"/>
          <w:color w:val="5F6B76"/>
          <w:sz w:val="19"/>
        </w:rPr>
        <w:t>[Department and Institution]</w:t>
      </w:r>
    </w:p>
    <w:p>
      <w:pPr>
        <w:spacing w:after="30"/>
      </w:pPr>
      <w:r>
        <w:rPr>
          <w:rFonts w:ascii="Aptos" w:hAnsi="Aptos"/>
          <w:color w:val="5F6B76"/>
          <w:sz w:val="19"/>
        </w:rPr>
        <w:t>[Postal or Email Address]</w:t>
      </w:r>
    </w:p>
    <w:p/>
    <w:p>
      <w:pPr>
        <w:spacing w:after="160"/>
      </w:pPr>
      <w:r>
        <w:t>Dear [Title and Surname],</w:t>
      </w:r>
    </w:p>
    <w:p>
      <w:pPr>
        <w:spacing w:after="200"/>
        <w:jc w:val="center"/>
      </w:pPr>
      <w:r>
        <w:rPr>
          <w:rFonts w:ascii="Aptos" w:hAnsi="Aptos"/>
          <w:b/>
          <w:color w:val="17365D"/>
        </w:rPr>
        <w:t>INVITATION TO JOIN RESEARCHBRIDGE AFRICA AS A LECTURER MEMBER</w:t>
      </w:r>
    </w:p>
    <w:p>
      <w:r>
        <w:t>ResearchBridge Africa respectfully invites you to apply for verified lecturer membership and to contribute, according to your expertise and availability, to the development of students and emerging researchers.</w:t>
      </w:r>
    </w:p>
    <w:p>
      <w:r>
        <w:t>The platform connects research learning, topic development, lecturer consultation, ethical technical support, manuscript improvement, peer review, repository publication and institutional reporting. Lecturer members provide the human academic judgement that automated guidance cannot replace.</w:t>
      </w:r>
    </w:p>
    <w:p>
      <w:r>
        <w:t>Participation is assignment-based. You may indicate the roles you are willing to perform and accept or decline individual assignments. Before acceptance, every assignment should state its scope, expected output, deadline and whether it is voluntary, formally recognised or paid under a separate written arrangement.</w:t>
      </w:r>
    </w:p>
    <w:p>
      <w:r>
        <w:t>Membership does not displace an institution’s supervision, assessment or ethics procedures. ResearchBridge Africa expects developmental guidance, genuine authorship, confidentiality, declared conflicts of interest and clear professional boundaries.</w:t>
      </w:r>
    </w:p>
    <w:p>
      <w:r>
        <w:t>If you wish to participate, kindly complete the application and declarations in this pack. Membership is subject to qualification and identity verification, approval, orientation and continued compliance with the Lecturer Code of Conduct.</w:t>
      </w:r>
    </w:p>
    <w:p>
      <w:pPr>
        <w:spacing w:before="160" w:after="240"/>
      </w:pPr>
      <w:r>
        <w:t>Yours faithfully,</w:t>
      </w:r>
    </w:p>
    <w:p>
      <w:pPr>
        <w:spacing w:after="20"/>
      </w:pPr>
      <w:r>
        <w:rPr>
          <w:rFonts w:ascii="Aptos" w:hAnsi="Aptos"/>
          <w:b/>
          <w:color w:val="17365D"/>
        </w:rPr>
        <w:t>Alexander Amoah, PhD</w:t>
      </w:r>
    </w:p>
    <w:p>
      <w:pPr>
        <w:spacing w:after="20"/>
      </w:pPr>
      <w:r>
        <w:t>Project Lead, ResearchBridge Africa</w:t>
      </w:r>
    </w:p>
    <w:p>
      <w:r>
        <w:rPr>
          <w:rFonts w:ascii="Aptos" w:hAnsi="Aptos"/>
          <w:color w:val="1B7F86"/>
          <w:sz w:val="19"/>
        </w:rPr>
        <w:t>Website: researchbridge-africa.xanderamoah.chatgpt.site</w:t>
      </w:r>
    </w:p>
    <w:p>
      <w:r>
        <w:br w:type="page"/>
      </w:r>
    </w:p>
    <w:p>
      <w:pPr>
        <w:pStyle w:val="Heading1"/>
        <w:keepNext/>
      </w:pPr>
      <w:r>
        <w:t>2. Membership Overview</w:t>
      </w:r>
    </w:p>
    <w:tbl>
      <w:tblPr>
        <w:tblW w:type="dxa" w:w="9638"/>
        <w:jc w:val="left"/>
        <w:tblLayout w:type="fixed"/>
        <w:tblLook w:firstColumn="1" w:firstRow="1" w:lastColumn="0" w:lastRow="0" w:noHBand="0" w:noVBand="1" w:val="04A0"/>
        <w:tblInd w:w="120" w:type="dxa"/>
      </w:tblPr>
      <w:tblGrid>
        <w:gridCol w:w="9638"/>
      </w:tblGrid>
      <w:tr>
        <w:tc>
          <w:tcPr>
            <w:tcW w:type="dxa" w:w="9638"/>
            <w:tcMar>
              <w:top w:w="100" w:type="dxa"/>
              <w:start w:w="120" w:type="dxa"/>
              <w:bottom w:w="100" w:type="dxa"/>
              <w:end w:w="120" w:type="dxa"/>
            </w:tcMar>
            <w:vAlign w:val="center"/>
            <w:shd w:fill="EAF4F4"/>
            <w:tcBorders>
              <w:top w:val="single" w:sz="2" w:color="EAF4F4"/>
              <w:left w:val="single" w:sz="2" w:color="EAF4F4"/>
              <w:bottom w:val="single" w:sz="2" w:color="EAF4F4"/>
              <w:right w:val="single" w:sz="2" w:color="EAF4F4"/>
              <w:insideH w:val="single" w:sz="2" w:color="EAF4F4"/>
              <w:insideV w:val="single" w:sz="2" w:color="EAF4F4"/>
            </w:tcBorders>
          </w:tcPr>
          <w:p>
            <w:pPr>
              <w:spacing w:after="0"/>
            </w:pPr>
            <w:r>
              <w:rPr>
                <w:rFonts w:ascii="Aptos" w:hAnsi="Aptos"/>
                <w:b/>
                <w:color w:val="17365D"/>
              </w:rPr>
              <w:t xml:space="preserve">The lecturer’s place in the bridge  </w:t>
            </w:r>
            <w:r>
              <w:rPr>
                <w:rFonts w:ascii="Aptos" w:hAnsi="Aptos"/>
                <w:color w:val="1F2933"/>
              </w:rPr>
              <w:t>Automated tools may identify wording or scope issues; lecturers interpret context, test feasibility, protect academic standards and help researchers learn.</w:t>
            </w:r>
          </w:p>
        </w:tc>
      </w:tr>
    </w:tbl>
    <w:p>
      <w:pPr>
        <w:spacing w:after="0"/>
      </w:pPr>
    </w:p>
    <w:p>
      <w:pPr>
        <w:pStyle w:val="Heading2"/>
        <w:keepNext/>
      </w:pPr>
      <w:r>
        <w:t>2.1 Purpose of Lecturer Membership</w:t>
      </w:r>
    </w:p>
    <w:p>
      <w:pPr>
        <w:pStyle w:val="RBBullet"/>
        <w:numPr>
          <w:ilvl w:val="0"/>
          <w:numId w:val="10"/>
        </w:numPr>
      </w:pPr>
      <w:r>
        <w:t>Improve the quality and researchability of topics proposed by students and emerging scholars.</w:t>
      </w:r>
    </w:p>
    <w:p>
      <w:pPr>
        <w:pStyle w:val="RBBullet"/>
        <w:numPr>
          <w:ilvl w:val="0"/>
          <w:numId w:val="10"/>
        </w:numPr>
      </w:pPr>
      <w:r>
        <w:t>Connect research-methods learning with practical academic guidance.</w:t>
      </w:r>
    </w:p>
    <w:p>
      <w:pPr>
        <w:pStyle w:val="RBBullet"/>
        <w:numPr>
          <w:ilvl w:val="0"/>
          <w:numId w:val="10"/>
        </w:numPr>
      </w:pPr>
      <w:r>
        <w:t>Provide structured, traceable and ethical consultations within agreed role boundaries.</w:t>
      </w:r>
    </w:p>
    <w:p>
      <w:pPr>
        <w:pStyle w:val="RBBullet"/>
        <w:numPr>
          <w:ilvl w:val="0"/>
          <w:numId w:val="10"/>
        </w:numPr>
      </w:pPr>
      <w:r>
        <w:t>Strengthen academic writing, methodology, analysis and publication readiness without replacing the author’s work.</w:t>
      </w:r>
    </w:p>
    <w:p>
      <w:pPr>
        <w:pStyle w:val="RBBullet"/>
        <w:numPr>
          <w:ilvl w:val="0"/>
          <w:numId w:val="10"/>
        </w:numPr>
      </w:pPr>
      <w:r>
        <w:t>Contribute African, disciplinary and institutional perspectives to research development.</w:t>
      </w:r>
    </w:p>
    <w:p>
      <w:pPr>
        <w:pStyle w:val="Heading2"/>
        <w:keepNext/>
      </w:pPr>
      <w:r>
        <w:t>2.2 Eligibility</w:t>
      </w:r>
    </w:p>
    <w:p>
      <w:r>
        <w:t>Applicants should normally satisfy the following requirements:</w:t>
      </w:r>
    </w:p>
    <w:p>
      <w:pPr>
        <w:pStyle w:val="RBBullet"/>
        <w:numPr>
          <w:ilvl w:val="0"/>
          <w:numId w:val="10"/>
        </w:numPr>
      </w:pPr>
      <w:r>
        <w:t>Hold a relevant postgraduate qualification or possess equivalent verified professional research expertise.</w:t>
      </w:r>
    </w:p>
    <w:p>
      <w:pPr>
        <w:pStyle w:val="RBBullet"/>
        <w:numPr>
          <w:ilvl w:val="0"/>
          <w:numId w:val="10"/>
        </w:numPr>
      </w:pPr>
      <w:r>
        <w:t>Be affiliated with a recognised higher-education, research or professional institution, or provide an independently verifiable academic profile.</w:t>
      </w:r>
    </w:p>
    <w:p>
      <w:pPr>
        <w:pStyle w:val="RBBullet"/>
        <w:numPr>
          <w:ilvl w:val="0"/>
          <w:numId w:val="10"/>
        </w:numPr>
      </w:pPr>
      <w:r>
        <w:t>Demonstrate competence in one or more disciplines, methods or research-support areas.</w:t>
      </w:r>
    </w:p>
    <w:p>
      <w:pPr>
        <w:pStyle w:val="RBBullet"/>
        <w:numPr>
          <w:ilvl w:val="0"/>
          <w:numId w:val="10"/>
        </w:numPr>
      </w:pPr>
      <w:r>
        <w:t>Accept the platform’s academic-integrity, confidentiality, conflict-of-interest and data-protection standards.</w:t>
      </w:r>
    </w:p>
    <w:p>
      <w:pPr>
        <w:pStyle w:val="RBBullet"/>
        <w:numPr>
          <w:ilvl w:val="0"/>
          <w:numId w:val="10"/>
        </w:numPr>
      </w:pPr>
      <w:r>
        <w:t>Provide accurate identity, qualification, affiliation and expertise information for verification.</w:t>
      </w:r>
    </w:p>
    <w:p>
      <w:pPr>
        <w:pStyle w:val="Heading2"/>
        <w:keepNext/>
      </w:pPr>
      <w:r>
        <w:t>2.3 Membership Status</w:t>
      </w:r>
    </w:p>
    <w:p>
      <w:r>
        <w:t>Lecturer membership begins only after verification and approval. It is personal, non-transferable and subject to periodic review. Approval does not guarantee assignments, remuneration, employment, institutional endorsement or a minimum workload.</w:t>
      </w:r>
    </w:p>
    <w:p>
      <w:pPr>
        <w:pStyle w:val="Heading2"/>
        <w:keepNext/>
      </w:pPr>
      <w:r>
        <w:t>2.4 Verification Evidence</w:t>
      </w:r>
    </w:p>
    <w:p>
      <w:pPr>
        <w:pStyle w:val="RBBullet"/>
        <w:numPr>
          <w:ilvl w:val="0"/>
          <w:numId w:val="10"/>
        </w:numPr>
      </w:pPr>
      <w:r>
        <w:t>Institutional email or formal affiliation evidence.</w:t>
      </w:r>
    </w:p>
    <w:p>
      <w:pPr>
        <w:pStyle w:val="RBBullet"/>
        <w:numPr>
          <w:ilvl w:val="0"/>
          <w:numId w:val="10"/>
        </w:numPr>
      </w:pPr>
      <w:r>
        <w:t>Academic qualification, staff profile, ORCID, researcher profile or other verifiable record.</w:t>
      </w:r>
    </w:p>
    <w:p>
      <w:pPr>
        <w:pStyle w:val="RBBullet"/>
        <w:numPr>
          <w:ilvl w:val="0"/>
          <w:numId w:val="10"/>
        </w:numPr>
      </w:pPr>
      <w:r>
        <w:t>Current curriculum vitae or concise professional biography, where requested.</w:t>
      </w:r>
    </w:p>
    <w:p>
      <w:pPr>
        <w:pStyle w:val="RBBullet"/>
        <w:numPr>
          <w:ilvl w:val="0"/>
          <w:numId w:val="10"/>
        </w:numPr>
      </w:pPr>
      <w:r>
        <w:t>Identity verification appropriate to the role and level of platform access.</w:t>
      </w:r>
    </w:p>
    <w:p>
      <w:r>
        <w:br w:type="page"/>
      </w:r>
    </w:p>
    <w:p>
      <w:pPr>
        <w:pStyle w:val="Heading1"/>
        <w:keepNext/>
      </w:pPr>
      <w:r>
        <w:t>3. Lecturer Roles and Assignment Options</w:t>
      </w:r>
    </w:p>
    <w:p>
      <w:r>
        <w:t>A lecturer may select one or more roles. Access is limited to accepted or assigned work; membership does not permit general access to private student, reviewer, editorial, financial or institutional records.</w:t>
      </w:r>
    </w:p>
    <w:tbl>
      <w:tblPr>
        <w:tblW w:type="dxa" w:w="9638"/>
        <w:tblLayout w:type="fixed"/>
        <w:tblLook w:firstColumn="1" w:firstRow="1" w:lastColumn="0" w:lastRow="0" w:noHBand="0" w:noVBand="1" w:val="04A0"/>
        <w:jc w:val="left"/>
        <w:tblInd w:w="120" w:type="dxa"/>
      </w:tblPr>
      <w:tblGrid>
        <w:gridCol w:w="2350"/>
        <w:gridCol w:w="7288"/>
      </w:tblGrid>
      <w:tr>
        <w:trPr>
          <w:tblHeader w:val="true"/>
        </w:trPr>
        <w:tc>
          <w:tcPr>
            <w:tcW w:type="dxa" w:w="2350"/>
            <w:tcMar>
              <w:top w:w="100" w:type="dxa"/>
              <w:start w:w="120" w:type="dxa"/>
              <w:bottom w:w="10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9"/>
              </w:rPr>
              <w:t>Role</w:t>
            </w:r>
          </w:p>
        </w:tc>
        <w:tc>
          <w:tcPr>
            <w:tcW w:type="dxa" w:w="7288"/>
            <w:tcMar>
              <w:top w:w="100" w:type="dxa"/>
              <w:start w:w="120" w:type="dxa"/>
              <w:bottom w:w="10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9"/>
              </w:rPr>
              <w:t>Typical contribution</w:t>
            </w:r>
          </w:p>
        </w:tc>
      </w:tr>
      <w:tr>
        <w:tc>
          <w:tcPr>
            <w:tcW w:type="dxa" w:w="23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Topic Consultant</w:t>
            </w:r>
          </w:p>
        </w:tc>
        <w:tc>
          <w:tcPr>
            <w:tcW w:type="dxa" w:w="7288"/>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Reviews topic clarity, researchability, alignment and scope; gives developmental feedback.</w:t>
            </w:r>
          </w:p>
        </w:tc>
      </w:tr>
      <w:tr>
        <w:tc>
          <w:tcPr>
            <w:tcW w:type="dxa" w:w="235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Research Mentor</w:t>
            </w:r>
          </w:p>
        </w:tc>
        <w:tc>
          <w:tcPr>
            <w:tcW w:type="dxa" w:w="7288"/>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Guides planning, scholarly judgement and researcher development within an agreed mentoring scope.</w:t>
            </w:r>
          </w:p>
        </w:tc>
      </w:tr>
      <w:tr>
        <w:tc>
          <w:tcPr>
            <w:tcW w:type="dxa" w:w="23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Course Facilitator</w:t>
            </w:r>
          </w:p>
        </w:tc>
        <w:tc>
          <w:tcPr>
            <w:tcW w:type="dxa" w:w="7288"/>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Develops or facilitates approved research-learning content, discussions, activities or assessments.</w:t>
            </w:r>
          </w:p>
        </w:tc>
      </w:tr>
      <w:tr>
        <w:tc>
          <w:tcPr>
            <w:tcW w:type="dxa" w:w="235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Methodology Adviser</w:t>
            </w:r>
          </w:p>
        </w:tc>
        <w:tc>
          <w:tcPr>
            <w:tcW w:type="dxa" w:w="7288"/>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Advises on design, sampling, instruments, data collection, analysis and limitations.</w:t>
            </w:r>
          </w:p>
        </w:tc>
      </w:tr>
      <w:tr>
        <w:tc>
          <w:tcPr>
            <w:tcW w:type="dxa" w:w="23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Academic Writing Adviser</w:t>
            </w:r>
          </w:p>
        </w:tc>
        <w:tc>
          <w:tcPr>
            <w:tcW w:type="dxa" w:w="7288"/>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Supports structure, argument, citation and scholarly expression without ghost-writing assessed work.</w:t>
            </w:r>
          </w:p>
        </w:tc>
      </w:tr>
      <w:tr>
        <w:tc>
          <w:tcPr>
            <w:tcW w:type="dxa" w:w="235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Editor</w:t>
            </w:r>
          </w:p>
        </w:tc>
        <w:tc>
          <w:tcPr>
            <w:tcW w:type="dxa" w:w="7288"/>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Performs an assigned editorial screening or improvement role under platform procedures.</w:t>
            </w:r>
          </w:p>
        </w:tc>
      </w:tr>
      <w:tr>
        <w:tc>
          <w:tcPr>
            <w:tcW w:type="dxa" w:w="23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Supervisor/Institutional Liaison</w:t>
            </w:r>
          </w:p>
        </w:tc>
        <w:tc>
          <w:tcPr>
            <w:tcW w:type="dxa" w:w="7288"/>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Supports an authorised institutional cohort without replacing official institutional authority.</w:t>
            </w:r>
          </w:p>
        </w:tc>
      </w:tr>
    </w:tbl>
    <w:p>
      <w:pPr>
        <w:pStyle w:val="Heading2"/>
        <w:keepNext/>
      </w:pPr>
      <w:r>
        <w:t>3.1 Assignment Acceptance</w:t>
      </w:r>
    </w:p>
    <w:p>
      <w:pPr>
        <w:pStyle w:val="RBNumber"/>
        <w:numPr>
          <w:ilvl w:val="0"/>
          <w:numId w:val="12"/>
        </w:numPr>
      </w:pPr>
      <w:r>
        <w:t>The lecturer receives enough information to evaluate the assignment, subject to confidentiality safeguards.</w:t>
      </w:r>
    </w:p>
    <w:p>
      <w:pPr>
        <w:pStyle w:val="RBNumber"/>
        <w:numPr>
          <w:ilvl w:val="0"/>
          <w:numId w:val="12"/>
        </w:numPr>
      </w:pPr>
      <w:r>
        <w:t>The lecturer may accept, decline or request clarification without penalty.</w:t>
      </w:r>
    </w:p>
    <w:p>
      <w:pPr>
        <w:pStyle w:val="RBNumber"/>
        <w:numPr>
          <w:ilvl w:val="0"/>
          <w:numId w:val="12"/>
        </w:numPr>
      </w:pPr>
      <w:r>
        <w:t>Acceptance confirms the agreed role, output, deadline, communication route and participation status.</w:t>
      </w:r>
    </w:p>
    <w:p>
      <w:pPr>
        <w:pStyle w:val="RBNumber"/>
        <w:numPr>
          <w:ilvl w:val="0"/>
          <w:numId w:val="12"/>
        </w:numPr>
      </w:pPr>
      <w:r>
        <w:t>Any material change in scope or deadline must be agreed before additional work is expected.</w:t>
      </w:r>
    </w:p>
    <w:tbl>
      <w:tblPr>
        <w:tblW w:type="dxa" w:w="9638"/>
        <w:jc w:val="left"/>
        <w:tblLayout w:type="fixed"/>
        <w:tblLook w:firstColumn="1" w:firstRow="1" w:lastColumn="0" w:lastRow="0" w:noHBand="0" w:noVBand="1" w:val="04A0"/>
        <w:tblInd w:w="120" w:type="dxa"/>
      </w:tblPr>
      <w:tblGrid>
        <w:gridCol w:w="9638"/>
      </w:tblGrid>
      <w:tr>
        <w:tc>
          <w:tcPr>
            <w:tcW w:type="dxa" w:w="9638"/>
            <w:tcMar>
              <w:top w:w="100" w:type="dxa"/>
              <w:start w:w="120" w:type="dxa"/>
              <w:bottom w:w="100" w:type="dxa"/>
              <w:end w:w="120" w:type="dxa"/>
            </w:tcMar>
            <w:vAlign w:val="center"/>
            <w:shd w:fill="F3F7FA"/>
            <w:tcBorders>
              <w:top w:val="single" w:sz="2" w:color="F3F7FA"/>
              <w:left w:val="single" w:sz="2" w:color="F3F7FA"/>
              <w:bottom w:val="single" w:sz="2" w:color="F3F7FA"/>
              <w:right w:val="single" w:sz="2" w:color="F3F7FA"/>
              <w:insideH w:val="single" w:sz="2" w:color="F3F7FA"/>
              <w:insideV w:val="single" w:sz="2" w:color="F3F7FA"/>
            </w:tcBorders>
          </w:tcPr>
          <w:p>
            <w:pPr>
              <w:spacing w:after="0"/>
            </w:pPr>
            <w:r>
              <w:rPr>
                <w:rFonts w:ascii="Aptos" w:hAnsi="Aptos"/>
                <w:b/>
                <w:color w:val="17365D"/>
              </w:rPr>
              <w:t xml:space="preserve">Important  </w:t>
            </w:r>
            <w:r>
              <w:rPr>
                <w:rFonts w:ascii="Aptos" w:hAnsi="Aptos"/>
                <w:color w:val="1F2933"/>
              </w:rPr>
              <w:t>Peer reviewing is governed by the separate Peer Reviewer Invitation and Agreement Pack. A lecturer who also reviews manuscripts must accept the additional reviewer obligations.</w:t>
            </w:r>
          </w:p>
        </w:tc>
      </w:tr>
    </w:tbl>
    <w:p>
      <w:pPr>
        <w:spacing w:after="0"/>
      </w:pPr>
    </w:p>
    <w:p>
      <w:r>
        <w:br w:type="page"/>
      </w:r>
    </w:p>
    <w:p>
      <w:pPr>
        <w:pStyle w:val="Heading1"/>
        <w:keepNext/>
      </w:pPr>
      <w:r>
        <w:t>4. Membership Benefits and Participation Model</w:t>
      </w:r>
    </w:p>
    <w:p>
      <w:pPr>
        <w:pStyle w:val="Heading2"/>
        <w:keepNext/>
      </w:pPr>
      <w:r>
        <w:t>4.1 Potential Benefits</w:t>
      </w:r>
    </w:p>
    <w:p>
      <w:pPr>
        <w:pStyle w:val="RBBullet"/>
        <w:numPr>
          <w:ilvl w:val="0"/>
          <w:numId w:val="10"/>
        </w:numPr>
      </w:pPr>
      <w:r>
        <w:t>Contribution to the development of students, emerging researchers and locally relevant scholarship.</w:t>
      </w:r>
    </w:p>
    <w:p>
      <w:pPr>
        <w:pStyle w:val="RBBullet"/>
        <w:numPr>
          <w:ilvl w:val="0"/>
          <w:numId w:val="10"/>
        </w:numPr>
      </w:pPr>
      <w:r>
        <w:t>A verified lecturer profile showing approved expertise and participation roles.</w:t>
      </w:r>
    </w:p>
    <w:p>
      <w:pPr>
        <w:pStyle w:val="RBBullet"/>
        <w:numPr>
          <w:ilvl w:val="0"/>
          <w:numId w:val="10"/>
        </w:numPr>
      </w:pPr>
      <w:r>
        <w:t>Access to accepted consultations, learning facilitation and other role-appropriate activities.</w:t>
      </w:r>
    </w:p>
    <w:p>
      <w:pPr>
        <w:pStyle w:val="RBBullet"/>
        <w:numPr>
          <w:ilvl w:val="0"/>
          <w:numId w:val="10"/>
        </w:numPr>
      </w:pPr>
      <w:r>
        <w:t>Professional recognition through activity records, acknowledgements or certificates where applicable.</w:t>
      </w:r>
    </w:p>
    <w:p>
      <w:pPr>
        <w:pStyle w:val="RBBullet"/>
        <w:numPr>
          <w:ilvl w:val="0"/>
          <w:numId w:val="10"/>
        </w:numPr>
      </w:pPr>
      <w:r>
        <w:t>Opportunities for interdisciplinary, institutional and African research collaboration.</w:t>
      </w:r>
    </w:p>
    <w:p>
      <w:pPr>
        <w:pStyle w:val="RBBullet"/>
        <w:numPr>
          <w:ilvl w:val="0"/>
          <w:numId w:val="10"/>
        </w:numPr>
      </w:pPr>
      <w:r>
        <w:t>Aggregate evidence of contribution for professional portfolios, subject to verification and privacy rules.</w:t>
      </w:r>
    </w:p>
    <w:p>
      <w:pPr>
        <w:pStyle w:val="RBBullet"/>
        <w:numPr>
          <w:ilvl w:val="0"/>
          <w:numId w:val="10"/>
        </w:numPr>
      </w:pPr>
      <w:r>
        <w:t>Eligibility for separately approved paid assignments where funding and written terms exist.</w:t>
      </w:r>
    </w:p>
    <w:p>
      <w:pPr>
        <w:pStyle w:val="Heading2"/>
        <w:keepNext/>
      </w:pPr>
      <w:r>
        <w:t>4.2 Participation Status</w:t>
      </w:r>
    </w:p>
    <w:tbl>
      <w:tblPr>
        <w:tblW w:type="dxa" w:w="9638"/>
        <w:tblLayout w:type="fixed"/>
        <w:tblLook w:firstColumn="1" w:firstRow="1" w:lastColumn="0" w:lastRow="0" w:noHBand="0" w:noVBand="1" w:val="04A0"/>
        <w:jc w:val="left"/>
        <w:tblInd w:w="120" w:type="dxa"/>
      </w:tblPr>
      <w:tblGrid>
        <w:gridCol w:w="2150"/>
        <w:gridCol w:w="7488"/>
      </w:tblGrid>
      <w:tr>
        <w:tc>
          <w:tcPr>
            <w:tcW w:type="dxa" w:w="2150"/>
            <w:tcMar>
              <w:top w:w="100" w:type="dxa"/>
              <w:start w:w="120" w:type="dxa"/>
              <w:bottom w:w="10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9"/>
              </w:rPr>
              <w:t>Status</w:t>
            </w:r>
          </w:p>
        </w:tc>
        <w:tc>
          <w:tcPr>
            <w:tcW w:type="dxa" w:w="7488"/>
            <w:tcMar>
              <w:top w:w="100" w:type="dxa"/>
              <w:start w:w="120" w:type="dxa"/>
              <w:bottom w:w="10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9"/>
              </w:rPr>
              <w:t>Meaning</w:t>
            </w:r>
          </w:p>
        </w:tc>
      </w:tr>
      <w:tr>
        <w:tc>
          <w:tcPr>
            <w:tcW w:type="dxa" w:w="2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Voluntary</w:t>
            </w:r>
          </w:p>
        </w:tc>
        <w:tc>
          <w:tcPr>
            <w:tcW w:type="dxa" w:w="7488"/>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No fee is payable; scope and expected time commitment are disclosed before acceptance.</w:t>
            </w:r>
          </w:p>
        </w:tc>
      </w:tr>
      <w:tr>
        <w:tc>
          <w:tcPr>
            <w:tcW w:type="dxa" w:w="215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Recognised</w:t>
            </w:r>
          </w:p>
        </w:tc>
        <w:tc>
          <w:tcPr>
            <w:tcW w:type="dxa" w:w="7488"/>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The activity may receive a verified record, acknowledgement or certificate but no fee unless separately stated.</w:t>
            </w:r>
          </w:p>
        </w:tc>
      </w:tr>
      <w:tr>
        <w:tc>
          <w:tcPr>
            <w:tcW w:type="dxa" w:w="2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Paid</w:t>
            </w:r>
          </w:p>
        </w:tc>
        <w:tc>
          <w:tcPr>
            <w:tcW w:type="dxa" w:w="7488"/>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A separate written assignment states the amount, basis, deliverables, payment conditions and applicable deductions.</w:t>
            </w:r>
          </w:p>
        </w:tc>
      </w:tr>
    </w:tbl>
    <w:p>
      <w:pPr>
        <w:pStyle w:val="Heading2"/>
        <w:keepNext/>
      </w:pPr>
      <w:r>
        <w:t>4.3 What Membership Does Not Create</w:t>
      </w:r>
    </w:p>
    <w:p>
      <w:pPr>
        <w:pStyle w:val="RBBullet"/>
        <w:numPr>
          <w:ilvl w:val="0"/>
          <w:numId w:val="10"/>
        </w:numPr>
      </w:pPr>
      <w:r>
        <w:t>An employment, agency, partnership or guaranteed-income relationship.</w:t>
      </w:r>
    </w:p>
    <w:p>
      <w:pPr>
        <w:pStyle w:val="RBBullet"/>
        <w:numPr>
          <w:ilvl w:val="0"/>
          <w:numId w:val="10"/>
        </w:numPr>
      </w:pPr>
      <w:r>
        <w:t>Authority to represent ResearchBridge Africa or a participating institution unless expressly authorised.</w:t>
      </w:r>
    </w:p>
    <w:p>
      <w:pPr>
        <w:pStyle w:val="RBBullet"/>
        <w:numPr>
          <w:ilvl w:val="0"/>
          <w:numId w:val="10"/>
        </w:numPr>
      </w:pPr>
      <w:r>
        <w:t>A right to access every manuscript, learner record, review, payment or institutional report.</w:t>
      </w:r>
    </w:p>
    <w:p>
      <w:pPr>
        <w:pStyle w:val="RBBullet"/>
        <w:numPr>
          <w:ilvl w:val="0"/>
          <w:numId w:val="10"/>
        </w:numPr>
      </w:pPr>
      <w:r>
        <w:t>A guarantee that a supported topic, manuscript or author will be approved or published.</w:t>
      </w:r>
    </w:p>
    <w:p>
      <w:pPr>
        <w:pStyle w:val="RBBullet"/>
        <w:numPr>
          <w:ilvl w:val="0"/>
          <w:numId w:val="10"/>
        </w:numPr>
      </w:pPr>
      <w:r>
        <w:t>Permission to solicit private business from platform users or move assigned work outside authorised channels.</w:t>
      </w:r>
    </w:p>
    <w:p>
      <w:pPr>
        <w:pStyle w:val="Heading2"/>
        <w:keepNext/>
      </w:pPr>
      <w:r>
        <w:t>4.4 Time and Availability</w:t>
      </w:r>
    </w:p>
    <w:p>
      <w:r>
        <w:t>Lecturers set their preferred role, subject areas and approximate availability. The platform may pause assignments when a lecturer is unavailable or when workload, timeliness or quality concerns require review.</w:t>
      </w:r>
    </w:p>
    <w:p>
      <w:r>
        <w:br w:type="page"/>
      </w:r>
    </w:p>
    <w:p>
      <w:pPr>
        <w:pStyle w:val="Heading1"/>
        <w:keepNext/>
      </w:pPr>
      <w:r>
        <w:t>5. Lecturer Code of Conduct</w:t>
      </w:r>
    </w:p>
    <w:p>
      <w:r>
        <w:t>Every lecturer member agrees to the following standards:</w:t>
      </w:r>
    </w:p>
    <w:p>
      <w:pPr>
        <w:pStyle w:val="RBNumber"/>
        <w:numPr>
          <w:ilvl w:val="0"/>
          <w:numId w:val="13"/>
        </w:numPr>
      </w:pPr>
      <w:r/>
      <w:r>
        <w:rPr>
          <w:rFonts w:ascii="Aptos" w:hAnsi="Aptos"/>
          <w:b/>
          <w:color w:val="17365D"/>
        </w:rPr>
        <w:t xml:space="preserve">Academic integrity. </w:t>
      </w:r>
      <w:r>
        <w:rPr>
          <w:rFonts w:ascii="Aptos" w:hAnsi="Aptos"/>
          <w:color w:val="1F2933"/>
        </w:rPr>
        <w:t>Promote genuine authorship, accurate reporting, proper citation and responsible research practice.</w:t>
      </w:r>
    </w:p>
    <w:p>
      <w:pPr>
        <w:pStyle w:val="RBNumber"/>
        <w:numPr>
          <w:ilvl w:val="0"/>
          <w:numId w:val="13"/>
        </w:numPr>
      </w:pPr>
      <w:r/>
      <w:r>
        <w:rPr>
          <w:rFonts w:ascii="Aptos" w:hAnsi="Aptos"/>
          <w:b/>
          <w:color w:val="17365D"/>
        </w:rPr>
        <w:t xml:space="preserve">Developmental support. </w:t>
      </w:r>
      <w:r>
        <w:rPr>
          <w:rFonts w:ascii="Aptos" w:hAnsi="Aptos"/>
          <w:color w:val="1F2933"/>
        </w:rPr>
        <w:t>Teach, question, guide and edit appropriately; do not secretly produce assessed work or impersonate a student.</w:t>
      </w:r>
    </w:p>
    <w:p>
      <w:pPr>
        <w:pStyle w:val="RBNumber"/>
        <w:numPr>
          <w:ilvl w:val="0"/>
          <w:numId w:val="13"/>
        </w:numPr>
      </w:pPr>
      <w:r/>
      <w:r>
        <w:rPr>
          <w:rFonts w:ascii="Aptos" w:hAnsi="Aptos"/>
          <w:b/>
          <w:color w:val="17365D"/>
        </w:rPr>
        <w:t xml:space="preserve">Competence. </w:t>
      </w:r>
      <w:r>
        <w:rPr>
          <w:rFonts w:ascii="Aptos" w:hAnsi="Aptos"/>
          <w:color w:val="1F2933"/>
        </w:rPr>
        <w:t>Accept only work reasonably within your expertise, capacity and available time.</w:t>
      </w:r>
    </w:p>
    <w:p>
      <w:pPr>
        <w:pStyle w:val="RBNumber"/>
        <w:numPr>
          <w:ilvl w:val="0"/>
          <w:numId w:val="13"/>
        </w:numPr>
      </w:pPr>
      <w:r/>
      <w:r>
        <w:rPr>
          <w:rFonts w:ascii="Aptos" w:hAnsi="Aptos"/>
          <w:b/>
          <w:color w:val="17365D"/>
        </w:rPr>
        <w:t xml:space="preserve">Independence. </w:t>
      </w:r>
      <w:r>
        <w:rPr>
          <w:rFonts w:ascii="Aptos" w:hAnsi="Aptos"/>
          <w:color w:val="1F2933"/>
        </w:rPr>
        <w:t>Give honest academic judgement and do not promise approval, publication, grades or favourable decisions.</w:t>
      </w:r>
    </w:p>
    <w:p>
      <w:pPr>
        <w:pStyle w:val="RBNumber"/>
        <w:numPr>
          <w:ilvl w:val="0"/>
          <w:numId w:val="13"/>
        </w:numPr>
      </w:pPr>
      <w:r/>
      <w:r>
        <w:rPr>
          <w:rFonts w:ascii="Aptos" w:hAnsi="Aptos"/>
          <w:b/>
          <w:color w:val="17365D"/>
        </w:rPr>
        <w:t xml:space="preserve">Respect and fairness. </w:t>
      </w:r>
      <w:r>
        <w:rPr>
          <w:rFonts w:ascii="Aptos" w:hAnsi="Aptos"/>
          <w:color w:val="1F2933"/>
        </w:rPr>
        <w:t>Treat users without discrimination, harassment, intimidation, exploitation or retaliation.</w:t>
      </w:r>
    </w:p>
    <w:p>
      <w:pPr>
        <w:pStyle w:val="RBNumber"/>
        <w:numPr>
          <w:ilvl w:val="0"/>
          <w:numId w:val="13"/>
        </w:numPr>
      </w:pPr>
      <w:r/>
      <w:r>
        <w:rPr>
          <w:rFonts w:ascii="Aptos" w:hAnsi="Aptos"/>
          <w:b/>
          <w:color w:val="17365D"/>
        </w:rPr>
        <w:t xml:space="preserve">Confidentiality. </w:t>
      </w:r>
      <w:r>
        <w:rPr>
          <w:rFonts w:ascii="Aptos" w:hAnsi="Aptos"/>
          <w:color w:val="1F2933"/>
        </w:rPr>
        <w:t>Protect private topics, drafts, personal information, institutional records and platform communications.</w:t>
      </w:r>
    </w:p>
    <w:p>
      <w:pPr>
        <w:pStyle w:val="RBNumber"/>
        <w:numPr>
          <w:ilvl w:val="0"/>
          <w:numId w:val="13"/>
        </w:numPr>
      </w:pPr>
      <w:r/>
      <w:r>
        <w:rPr>
          <w:rFonts w:ascii="Aptos" w:hAnsi="Aptos"/>
          <w:b/>
          <w:color w:val="17365D"/>
        </w:rPr>
        <w:t xml:space="preserve">Conflict disclosure. </w:t>
      </w:r>
      <w:r>
        <w:rPr>
          <w:rFonts w:ascii="Aptos" w:hAnsi="Aptos"/>
          <w:color w:val="1F2933"/>
        </w:rPr>
        <w:t>Declare any relationship, interest, competition or prior involvement that could affect impartiality.</w:t>
      </w:r>
    </w:p>
    <w:p>
      <w:pPr>
        <w:pStyle w:val="RBNumber"/>
        <w:numPr>
          <w:ilvl w:val="0"/>
          <w:numId w:val="13"/>
        </w:numPr>
      </w:pPr>
      <w:r/>
      <w:r>
        <w:rPr>
          <w:rFonts w:ascii="Aptos" w:hAnsi="Aptos"/>
          <w:b/>
          <w:color w:val="17365D"/>
        </w:rPr>
        <w:t xml:space="preserve">Professional communication. </w:t>
      </w:r>
      <w:r>
        <w:rPr>
          <w:rFonts w:ascii="Aptos" w:hAnsi="Aptos"/>
          <w:color w:val="1F2933"/>
        </w:rPr>
        <w:t>Use clear, constructive and timely feedback through authorised channels.</w:t>
      </w:r>
    </w:p>
    <w:p>
      <w:pPr>
        <w:pStyle w:val="RBNumber"/>
        <w:numPr>
          <w:ilvl w:val="0"/>
          <w:numId w:val="13"/>
        </w:numPr>
      </w:pPr>
      <w:r/>
      <w:r>
        <w:rPr>
          <w:rFonts w:ascii="Aptos" w:hAnsi="Aptos"/>
          <w:b/>
          <w:color w:val="17365D"/>
        </w:rPr>
        <w:t xml:space="preserve">No unauthorised solicitation. </w:t>
      </w:r>
      <w:r>
        <w:rPr>
          <w:rFonts w:ascii="Aptos" w:hAnsi="Aptos"/>
          <w:color w:val="1F2933"/>
        </w:rPr>
        <w:t>Do not use access gained through the platform to market private services or redirect users without permission.</w:t>
      </w:r>
    </w:p>
    <w:p>
      <w:pPr>
        <w:pStyle w:val="RBNumber"/>
        <w:numPr>
          <w:ilvl w:val="0"/>
          <w:numId w:val="13"/>
        </w:numPr>
      </w:pPr>
      <w:r/>
      <w:r>
        <w:rPr>
          <w:rFonts w:ascii="Aptos" w:hAnsi="Aptos"/>
          <w:b/>
          <w:color w:val="17365D"/>
        </w:rPr>
        <w:t xml:space="preserve">Secure access. </w:t>
      </w:r>
      <w:r>
        <w:rPr>
          <w:rFonts w:ascii="Aptos" w:hAnsi="Aptos"/>
          <w:color w:val="1F2933"/>
        </w:rPr>
        <w:t>Protect login credentials and report suspected unauthorised access, disclosure or misuse promptly.</w:t>
      </w:r>
    </w:p>
    <w:p>
      <w:pPr>
        <w:pStyle w:val="RBNumber"/>
        <w:numPr>
          <w:ilvl w:val="0"/>
          <w:numId w:val="13"/>
        </w:numPr>
      </w:pPr>
      <w:r/>
      <w:r>
        <w:rPr>
          <w:rFonts w:ascii="Aptos" w:hAnsi="Aptos"/>
          <w:b/>
          <w:color w:val="17365D"/>
        </w:rPr>
        <w:t xml:space="preserve">Transparent use of tools. </w:t>
      </w:r>
      <w:r>
        <w:rPr>
          <w:rFonts w:ascii="Aptos" w:hAnsi="Aptos"/>
          <w:color w:val="1F2933"/>
        </w:rPr>
        <w:t>Do not misrepresent automated or AI-generated material as your own expert review; verify any tool-assisted output.</w:t>
      </w:r>
    </w:p>
    <w:p>
      <w:pPr>
        <w:pStyle w:val="RBNumber"/>
        <w:numPr>
          <w:ilvl w:val="0"/>
          <w:numId w:val="13"/>
        </w:numPr>
      </w:pPr>
      <w:r/>
      <w:r>
        <w:rPr>
          <w:rFonts w:ascii="Aptos" w:hAnsi="Aptos"/>
          <w:b/>
          <w:color w:val="17365D"/>
        </w:rPr>
        <w:t xml:space="preserve">Compliance. </w:t>
      </w:r>
      <w:r>
        <w:rPr>
          <w:rFonts w:ascii="Aptos" w:hAnsi="Aptos"/>
          <w:color w:val="1F2933"/>
        </w:rPr>
        <w:t>Observe applicable law, institutional rules, ethics approvals, platform policies and assignment-specific instructions.</w:t>
      </w:r>
    </w:p>
    <w:p>
      <w:pPr>
        <w:pStyle w:val="Heading2"/>
        <w:keepNext/>
      </w:pPr>
      <w:r>
        <w:t>5.1 Prohibited Conduct</w:t>
      </w:r>
    </w:p>
    <w:p>
      <w:pPr>
        <w:pStyle w:val="RBBullet"/>
        <w:numPr>
          <w:ilvl w:val="0"/>
          <w:numId w:val="10"/>
        </w:numPr>
      </w:pPr>
      <w:r>
        <w:t>Contract cheating, ghost-writing, fabrication, falsification, plagiarism or facilitation of academic misconduct.</w:t>
      </w:r>
    </w:p>
    <w:p>
      <w:pPr>
        <w:pStyle w:val="RBBullet"/>
        <w:numPr>
          <w:ilvl w:val="0"/>
          <w:numId w:val="10"/>
        </w:numPr>
      </w:pPr>
      <w:r>
        <w:t>Pay-to-publish promises, undisclosed commissions or linking payment to an academic or editorial outcome.</w:t>
      </w:r>
    </w:p>
    <w:p>
      <w:pPr>
        <w:pStyle w:val="RBBullet"/>
        <w:numPr>
          <w:ilvl w:val="0"/>
          <w:numId w:val="10"/>
        </w:numPr>
      </w:pPr>
      <w:r>
        <w:t>Sharing, downloading or retaining materials beyond the authorised assignment purpose.</w:t>
      </w:r>
    </w:p>
    <w:p>
      <w:pPr>
        <w:pStyle w:val="RBBullet"/>
        <w:numPr>
          <w:ilvl w:val="0"/>
          <w:numId w:val="10"/>
        </w:numPr>
      </w:pPr>
      <w:r>
        <w:t>Entering private relationships with students that exploit dependency or compromise professional judgement.</w:t>
      </w:r>
    </w:p>
    <w:p>
      <w:pPr>
        <w:pStyle w:val="RBBullet"/>
        <w:numPr>
          <w:ilvl w:val="0"/>
          <w:numId w:val="10"/>
        </w:numPr>
      </w:pPr>
      <w:r>
        <w:t>Using institutional or ResearchBridge Africa branding without approval.</w:t>
      </w:r>
    </w:p>
    <w:p>
      <w:r>
        <w:br w:type="page"/>
      </w:r>
    </w:p>
    <w:p>
      <w:pPr>
        <w:pStyle w:val="Heading1"/>
        <w:keepNext/>
      </w:pPr>
      <w:r>
        <w:t>6. Confidentiality, Data, Copyright and Conflicts</w:t>
      </w:r>
    </w:p>
    <w:p>
      <w:pPr>
        <w:pStyle w:val="Heading2"/>
        <w:keepNext/>
      </w:pPr>
      <w:r>
        <w:t>6.1 Confidentiality</w:t>
      </w:r>
    </w:p>
    <w:p>
      <w:r>
        <w:t>The lecturer must use confidential information only for the accepted assignment and disclose it only through authorised processes. This duty continues after an assignment or membership ends.</w:t>
      </w:r>
    </w:p>
    <w:p>
      <w:pPr>
        <w:pStyle w:val="Heading2"/>
        <w:keepNext/>
      </w:pPr>
      <w:r>
        <w:t>6.2 Data Protection and Secure Handling</w:t>
      </w:r>
    </w:p>
    <w:p>
      <w:pPr>
        <w:pStyle w:val="RBBullet"/>
        <w:numPr>
          <w:ilvl w:val="0"/>
          <w:numId w:val="10"/>
        </w:numPr>
      </w:pPr>
      <w:r>
        <w:t>Access only the minimum records needed for the assigned purpose.</w:t>
      </w:r>
    </w:p>
    <w:p>
      <w:pPr>
        <w:pStyle w:val="RBBullet"/>
        <w:numPr>
          <w:ilvl w:val="0"/>
          <w:numId w:val="10"/>
        </w:numPr>
      </w:pPr>
      <w:r>
        <w:t>Do not share account credentials or allow another person to complete an assignment under your identity.</w:t>
      </w:r>
    </w:p>
    <w:p>
      <w:pPr>
        <w:pStyle w:val="RBBullet"/>
        <w:numPr>
          <w:ilvl w:val="0"/>
          <w:numId w:val="10"/>
        </w:numPr>
      </w:pPr>
      <w:r>
        <w:t>Avoid downloading private files unless necessary and authorised; securely remove local copies when no longer required.</w:t>
      </w:r>
    </w:p>
    <w:p>
      <w:pPr>
        <w:pStyle w:val="RBBullet"/>
        <w:numPr>
          <w:ilvl w:val="0"/>
          <w:numId w:val="10"/>
        </w:numPr>
      </w:pPr>
      <w:r>
        <w:t>Report accidental disclosure, suspicious access, lost devices or other privacy incidents promptly.</w:t>
      </w:r>
    </w:p>
    <w:p>
      <w:pPr>
        <w:pStyle w:val="Heading2"/>
        <w:keepNext/>
      </w:pPr>
      <w:r>
        <w:t>6.3 Copyright and Intellectual Property</w:t>
      </w:r>
    </w:p>
    <w:p>
      <w:r>
        <w:t>Authors retain rights in their work subject to any licence or institutional rule they have accepted. Lecturer comments do not transfer ownership of the manuscript. A lecturer retains rights in original teaching content or other material unless a separate written licence or assignment states otherwise. Platform templates, marks and confidential workflow materials may not be reproduced commercially without permission.</w:t>
      </w:r>
    </w:p>
    <w:p>
      <w:pPr>
        <w:pStyle w:val="Heading2"/>
        <w:keepNext/>
      </w:pPr>
      <w:r>
        <w:t>6.4 Conflicts of Interest</w:t>
      </w:r>
    </w:p>
    <w:p>
      <w:r>
        <w:t>A lecturer must disclose actual, potential or perceived conflicts before accepting or continuing an assignment. ResearchBridge Africa may reassign the work, restrict access or approve a managed arrangement.</w:t>
      </w:r>
    </w:p>
    <w:tbl>
      <w:tblPr>
        <w:tblW w:type="dxa" w:w="9638"/>
        <w:jc w:val="left"/>
        <w:tblLayout w:type="fixed"/>
        <w:tblLook w:firstColumn="1" w:firstRow="1" w:lastColumn="0" w:lastRow="0" w:noHBand="0" w:noVBand="1" w:val="04A0"/>
        <w:tblInd w:w="120" w:type="dxa"/>
      </w:tblPr>
      <w:tblGrid>
        <w:gridCol w:w="9638"/>
      </w:tblGrid>
      <w:tr>
        <w:tc>
          <w:tcPr>
            <w:tcW w:type="dxa" w:w="9638"/>
            <w:tcMar>
              <w:top w:w="100" w:type="dxa"/>
              <w:start w:w="120" w:type="dxa"/>
              <w:bottom w:w="100" w:type="dxa"/>
              <w:end w:w="120" w:type="dxa"/>
            </w:tcMar>
            <w:vAlign w:val="center"/>
            <w:shd w:fill="F3F7FA"/>
            <w:tcBorders>
              <w:top w:val="single" w:sz="2" w:color="F3F7FA"/>
              <w:left w:val="single" w:sz="2" w:color="F3F7FA"/>
              <w:bottom w:val="single" w:sz="2" w:color="F3F7FA"/>
              <w:right w:val="single" w:sz="2" w:color="F3F7FA"/>
              <w:insideH w:val="single" w:sz="2" w:color="F3F7FA"/>
              <w:insideV w:val="single" w:sz="2" w:color="F3F7FA"/>
            </w:tcBorders>
          </w:tcPr>
          <w:p>
            <w:pPr>
              <w:spacing w:after="0"/>
            </w:pPr>
            <w:r>
              <w:rPr>
                <w:rFonts w:ascii="Aptos" w:hAnsi="Aptos"/>
                <w:b/>
                <w:color w:val="17365D"/>
              </w:rPr>
              <w:t xml:space="preserve">Examples  </w:t>
            </w:r>
            <w:r>
              <w:rPr>
                <w:rFonts w:ascii="Aptos" w:hAnsi="Aptos"/>
                <w:color w:val="1F2933"/>
              </w:rPr>
              <w:t>Current supervisory or assessment responsibility; close personal or financial relationship; direct academic rivalry; prior authorship of the work; institutional dispute; or another interest that a reasonable person may believe could affect judgement.</w:t>
            </w:r>
          </w:p>
        </w:tc>
      </w:tr>
    </w:tbl>
    <w:p>
      <w:pPr>
        <w:spacing w:after="0"/>
      </w:pPr>
    </w:p>
    <w:p>
      <w:pPr>
        <w:pStyle w:val="Heading2"/>
        <w:keepNext/>
      </w:pPr>
      <w:r>
        <w:t>6.5 Complaints and Corrective Action</w:t>
      </w:r>
    </w:p>
    <w:p>
      <w:r>
        <w:t>Concerns may be reviewed through the platform’s complaints or administrative process. Depending on seriousness, action may include advice, correction, temporary restriction, reassignment, suspension or termination. Serious suspected misconduct may be referred to an authorised institution or competent body, subject to due process and applicable privacy requirements.</w:t>
      </w:r>
    </w:p>
    <w:p>
      <w:r>
        <w:br w:type="page"/>
      </w:r>
    </w:p>
    <w:p>
      <w:pPr>
        <w:pStyle w:val="Heading1"/>
        <w:keepNext/>
      </w:pPr>
      <w:r>
        <w:t>7. Lecturer Membership Application</w:t>
      </w:r>
    </w:p>
    <w:p>
      <w:r>
        <w:t>Please complete legibly. Additional pages or a curriculum vitae may be attached where requested.</w:t>
      </w:r>
    </w:p>
    <w:tbl>
      <w:tblPr>
        <w:tblW w:type="dxa" w:w="9638"/>
        <w:tblLayout w:type="fixed"/>
        <w:tblLook w:firstColumn="1" w:firstRow="1" w:lastColumn="0" w:lastRow="0" w:noHBand="0" w:noVBand="1" w:val="04A0"/>
        <w:jc w:val="left"/>
        <w:tblInd w:w="120" w:type="dxa"/>
      </w:tblPr>
      <w:tblGrid>
        <w:gridCol w:w="3000"/>
        <w:gridCol w:w="6638"/>
      </w:tblGrid>
      <w:tr>
        <w:tc>
          <w:tcPr>
            <w:tcW w:type="dxa" w:w="30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Full name and title</w:t>
            </w:r>
          </w:p>
        </w:tc>
        <w:tc>
          <w:tcPr>
            <w:tcW w:type="dxa" w:w="6638"/>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pPr>
              <w:spacing w:after="200"/>
            </w:pPr>
            <w:r>
              <w:rPr>
                <w:rFonts w:ascii="Aptos" w:hAnsi="Aptos"/>
                <w:color w:val="1F2933"/>
                <w:sz w:val="20"/>
              </w:rPr>
              <w:t xml:space="preserve"> </w:t>
            </w:r>
          </w:p>
        </w:tc>
      </w:tr>
      <w:tr>
        <w:tc>
          <w:tcPr>
            <w:tcW w:type="dxa" w:w="30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Preferred display name</w:t>
            </w:r>
          </w:p>
        </w:tc>
        <w:tc>
          <w:tcPr>
            <w:tcW w:type="dxa" w:w="6638"/>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pPr>
              <w:spacing w:after="200"/>
            </w:pPr>
            <w:r>
              <w:rPr>
                <w:rFonts w:ascii="Aptos" w:hAnsi="Aptos"/>
                <w:color w:val="1F2933"/>
                <w:sz w:val="20"/>
              </w:rPr>
              <w:t xml:space="preserve"> </w:t>
            </w:r>
          </w:p>
        </w:tc>
      </w:tr>
      <w:tr>
        <w:tc>
          <w:tcPr>
            <w:tcW w:type="dxa" w:w="30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Institution/organisation</w:t>
            </w:r>
          </w:p>
        </w:tc>
        <w:tc>
          <w:tcPr>
            <w:tcW w:type="dxa" w:w="6638"/>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pPr>
              <w:spacing w:after="200"/>
            </w:pPr>
            <w:r>
              <w:rPr>
                <w:rFonts w:ascii="Aptos" w:hAnsi="Aptos"/>
                <w:color w:val="1F2933"/>
                <w:sz w:val="20"/>
              </w:rPr>
              <w:t xml:space="preserve"> </w:t>
            </w:r>
          </w:p>
        </w:tc>
      </w:tr>
      <w:tr>
        <w:tc>
          <w:tcPr>
            <w:tcW w:type="dxa" w:w="30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Department/unit</w:t>
            </w:r>
          </w:p>
        </w:tc>
        <w:tc>
          <w:tcPr>
            <w:tcW w:type="dxa" w:w="6638"/>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pPr>
              <w:spacing w:after="200"/>
            </w:pPr>
            <w:r>
              <w:rPr>
                <w:rFonts w:ascii="Aptos" w:hAnsi="Aptos"/>
                <w:color w:val="1F2933"/>
                <w:sz w:val="20"/>
              </w:rPr>
              <w:t xml:space="preserve"> </w:t>
            </w:r>
          </w:p>
        </w:tc>
      </w:tr>
      <w:tr>
        <w:tc>
          <w:tcPr>
            <w:tcW w:type="dxa" w:w="30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Current position</w:t>
            </w:r>
          </w:p>
        </w:tc>
        <w:tc>
          <w:tcPr>
            <w:tcW w:type="dxa" w:w="6638"/>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pPr>
              <w:spacing w:after="200"/>
            </w:pPr>
            <w:r>
              <w:rPr>
                <w:rFonts w:ascii="Aptos" w:hAnsi="Aptos"/>
                <w:color w:val="1F2933"/>
                <w:sz w:val="20"/>
              </w:rPr>
              <w:t xml:space="preserve"> </w:t>
            </w:r>
          </w:p>
        </w:tc>
      </w:tr>
      <w:tr>
        <w:tc>
          <w:tcPr>
            <w:tcW w:type="dxa" w:w="30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Highest qualification</w:t>
            </w:r>
          </w:p>
        </w:tc>
        <w:tc>
          <w:tcPr>
            <w:tcW w:type="dxa" w:w="6638"/>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pPr>
              <w:spacing w:after="200"/>
            </w:pPr>
            <w:r>
              <w:rPr>
                <w:rFonts w:ascii="Aptos" w:hAnsi="Aptos"/>
                <w:color w:val="1F2933"/>
                <w:sz w:val="20"/>
              </w:rPr>
              <w:t xml:space="preserve"> </w:t>
            </w:r>
          </w:p>
        </w:tc>
      </w:tr>
      <w:tr>
        <w:tc>
          <w:tcPr>
            <w:tcW w:type="dxa" w:w="30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Discipline/field</w:t>
            </w:r>
          </w:p>
        </w:tc>
        <w:tc>
          <w:tcPr>
            <w:tcW w:type="dxa" w:w="6638"/>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pPr>
              <w:spacing w:after="200"/>
            </w:pPr>
            <w:r>
              <w:rPr>
                <w:rFonts w:ascii="Aptos" w:hAnsi="Aptos"/>
                <w:color w:val="1F2933"/>
                <w:sz w:val="20"/>
              </w:rPr>
              <w:t xml:space="preserve"> </w:t>
            </w:r>
          </w:p>
        </w:tc>
      </w:tr>
      <w:tr>
        <w:tc>
          <w:tcPr>
            <w:tcW w:type="dxa" w:w="30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Country and city</w:t>
            </w:r>
          </w:p>
        </w:tc>
        <w:tc>
          <w:tcPr>
            <w:tcW w:type="dxa" w:w="6638"/>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pPr>
              <w:spacing w:after="200"/>
            </w:pPr>
            <w:r>
              <w:rPr>
                <w:rFonts w:ascii="Aptos" w:hAnsi="Aptos"/>
                <w:color w:val="1F2933"/>
                <w:sz w:val="20"/>
              </w:rPr>
              <w:t xml:space="preserve"> </w:t>
            </w:r>
          </w:p>
        </w:tc>
      </w:tr>
      <w:tr>
        <w:tc>
          <w:tcPr>
            <w:tcW w:type="dxa" w:w="30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Verified institutional email</w:t>
            </w:r>
          </w:p>
        </w:tc>
        <w:tc>
          <w:tcPr>
            <w:tcW w:type="dxa" w:w="6638"/>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pPr>
              <w:spacing w:after="200"/>
            </w:pPr>
            <w:r>
              <w:rPr>
                <w:rFonts w:ascii="Aptos" w:hAnsi="Aptos"/>
                <w:color w:val="1F2933"/>
                <w:sz w:val="20"/>
              </w:rPr>
              <w:t xml:space="preserve"> </w:t>
            </w:r>
          </w:p>
        </w:tc>
      </w:tr>
      <w:tr>
        <w:tc>
          <w:tcPr>
            <w:tcW w:type="dxa" w:w="30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Alternative email</w:t>
            </w:r>
          </w:p>
        </w:tc>
        <w:tc>
          <w:tcPr>
            <w:tcW w:type="dxa" w:w="6638"/>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pPr>
              <w:spacing w:after="200"/>
            </w:pPr>
            <w:r>
              <w:rPr>
                <w:rFonts w:ascii="Aptos" w:hAnsi="Aptos"/>
                <w:color w:val="1F2933"/>
                <w:sz w:val="20"/>
              </w:rPr>
              <w:t xml:space="preserve"> </w:t>
            </w:r>
          </w:p>
        </w:tc>
      </w:tr>
      <w:tr>
        <w:tc>
          <w:tcPr>
            <w:tcW w:type="dxa" w:w="30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Telephone/WhatsApp</w:t>
            </w:r>
          </w:p>
        </w:tc>
        <w:tc>
          <w:tcPr>
            <w:tcW w:type="dxa" w:w="6638"/>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pPr>
              <w:spacing w:after="200"/>
            </w:pPr>
            <w:r>
              <w:rPr>
                <w:rFonts w:ascii="Aptos" w:hAnsi="Aptos"/>
                <w:color w:val="1F2933"/>
                <w:sz w:val="20"/>
              </w:rPr>
              <w:t xml:space="preserve"> </w:t>
            </w:r>
          </w:p>
        </w:tc>
      </w:tr>
      <w:tr>
        <w:tc>
          <w:tcPr>
            <w:tcW w:type="dxa" w:w="30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ORCID/researcher/staff-profile link</w:t>
            </w:r>
          </w:p>
        </w:tc>
        <w:tc>
          <w:tcPr>
            <w:tcW w:type="dxa" w:w="6638"/>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pPr>
              <w:spacing w:after="200"/>
            </w:pPr>
            <w:r>
              <w:rPr>
                <w:rFonts w:ascii="Aptos" w:hAnsi="Aptos"/>
                <w:color w:val="1F2933"/>
                <w:sz w:val="20"/>
              </w:rPr>
              <w:t xml:space="preserve"> </w:t>
            </w:r>
          </w:p>
        </w:tc>
      </w:tr>
    </w:tbl>
    <w:p>
      <w:pPr>
        <w:pStyle w:val="Heading2"/>
        <w:keepNext/>
      </w:pPr>
      <w:r>
        <w:t>7.1 Verification Documents</w:t>
      </w:r>
    </w:p>
    <w:tbl>
      <w:tblPr>
        <w:tblW w:type="dxa" w:w="9638"/>
        <w:jc w:val="left"/>
        <w:tblLayout w:type="fixed"/>
        <w:tblLook w:firstColumn="1" w:firstRow="1" w:lastColumn="0" w:lastRow="0" w:noHBand="0" w:noVBand="1" w:val="04A0"/>
        <w:tblInd w:w="120" w:type="dxa"/>
      </w:tblPr>
      <w:tblGrid>
        <w:gridCol w:w="9638"/>
      </w:tblGrid>
      <w:tr>
        <w:tc>
          <w:tcPr>
            <w:tcW w:type="dxa" w:w="9638"/>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pPr>
              <w:spacing w:after="40"/>
            </w:pPr>
            <w:r>
              <w:rPr>
                <w:rFonts w:ascii="Aptos" w:hAnsi="Aptos"/>
                <w:color w:val="1F2933"/>
                <w:sz w:val="19"/>
              </w:rPr>
              <w:t>☐ Curriculum vitae</w:t>
            </w:r>
            <w:r>
              <w:rPr>
                <w:rFonts w:ascii="Aptos" w:hAnsi="Aptos"/>
                <w:color w:val="1F2933"/>
                <w:sz w:val="19"/>
              </w:rPr>
              <w:t xml:space="preserve">   ☐ Qualification evidence</w:t>
            </w:r>
            <w:r>
              <w:rPr>
                <w:rFonts w:ascii="Aptos" w:hAnsi="Aptos"/>
                <w:color w:val="1F2933"/>
                <w:sz w:val="19"/>
              </w:rPr>
              <w:t xml:space="preserve">   ☐ Institutional profile</w:t>
            </w:r>
          </w:p>
        </w:tc>
      </w:tr>
      <w:tr>
        <w:tc>
          <w:tcPr>
            <w:tcW w:type="dxa" w:w="9638"/>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pPr>
              <w:spacing w:after="40"/>
            </w:pPr>
            <w:r>
              <w:rPr>
                <w:rFonts w:ascii="Aptos" w:hAnsi="Aptos"/>
                <w:color w:val="1F2933"/>
                <w:sz w:val="19"/>
              </w:rPr>
              <w:t>☐ ORCID/researcher profile</w:t>
            </w:r>
            <w:r>
              <w:rPr>
                <w:rFonts w:ascii="Aptos" w:hAnsi="Aptos"/>
                <w:color w:val="1F2933"/>
                <w:sz w:val="19"/>
              </w:rPr>
              <w:t xml:space="preserve">   ☐ Identity evidence if requested</w:t>
            </w:r>
            <w:r>
              <w:rPr>
                <w:rFonts w:ascii="Aptos" w:hAnsi="Aptos"/>
                <w:color w:val="1F2933"/>
                <w:sz w:val="19"/>
              </w:rPr>
              <w:t xml:space="preserve">   ☐ Other: __________________</w:t>
            </w:r>
          </w:p>
        </w:tc>
      </w:tr>
    </w:tbl>
    <w:p>
      <w:pPr>
        <w:pStyle w:val="Heading2"/>
        <w:keepNext/>
      </w:pPr>
      <w:r>
        <w:t>7.2 Short Professional Profile</w:t>
      </w:r>
    </w:p>
    <w:p>
      <w:r>
        <w:t>Summarise your teaching, research and supervision experience (approximately 100–150 words):</w:t>
      </w:r>
    </w:p>
    <w:p>
      <w:pPr>
        <w:spacing w:after="80"/>
      </w:pPr>
      <w:r>
        <w:rPr>
          <w:rFonts w:ascii="Aptos" w:hAnsi="Aptos"/>
          <w:color w:val="D6DEE5"/>
          <w:sz w:val="18"/>
        </w:rPr>
        <w:t>________________________________________________________________________________</w:t>
      </w:r>
    </w:p>
    <w:p>
      <w:pPr>
        <w:spacing w:after="80"/>
      </w:pPr>
      <w:r>
        <w:rPr>
          <w:rFonts w:ascii="Aptos" w:hAnsi="Aptos"/>
          <w:color w:val="D6DEE5"/>
          <w:sz w:val="18"/>
        </w:rPr>
        <w:t>________________________________________________________________________________</w:t>
      </w:r>
    </w:p>
    <w:p>
      <w:pPr>
        <w:spacing w:after="80"/>
      </w:pPr>
      <w:r>
        <w:rPr>
          <w:rFonts w:ascii="Aptos" w:hAnsi="Aptos"/>
          <w:color w:val="D6DEE5"/>
          <w:sz w:val="18"/>
        </w:rPr>
        <w:t>________________________________________________________________________________</w:t>
      </w:r>
    </w:p>
    <w:p>
      <w:r>
        <w:br w:type="page"/>
      </w:r>
    </w:p>
    <w:p>
      <w:pPr>
        <w:pStyle w:val="Heading1"/>
        <w:keepNext/>
      </w:pPr>
      <w:r>
        <w:t>8. Role Preferences, Expertise and Availability</w:t>
      </w:r>
    </w:p>
    <w:p>
      <w:pPr>
        <w:pStyle w:val="Heading2"/>
        <w:keepNext/>
      </w:pPr>
      <w:r>
        <w:t>8.1 Preferred Roles</w:t>
      </w:r>
    </w:p>
    <w:tbl>
      <w:tblPr>
        <w:tblW w:type="dxa" w:w="9638"/>
        <w:jc w:val="left"/>
        <w:tblLayout w:type="fixed"/>
        <w:tblLook w:firstColumn="1" w:firstRow="1" w:lastColumn="0" w:lastRow="0" w:noHBand="0" w:noVBand="1" w:val="04A0"/>
        <w:tblInd w:w="120" w:type="dxa"/>
      </w:tblPr>
      <w:tblGrid>
        <w:gridCol w:w="9638"/>
      </w:tblGrid>
      <w:tr>
        <w:tc>
          <w:tcPr>
            <w:tcW w:type="dxa" w:w="9638"/>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pPr>
              <w:spacing w:after="40"/>
            </w:pPr>
            <w:r>
              <w:rPr>
                <w:rFonts w:ascii="Aptos" w:hAnsi="Aptos"/>
                <w:color w:val="1F2933"/>
                <w:sz w:val="19"/>
              </w:rPr>
              <w:t>☐ Topic Consultant</w:t>
            </w:r>
            <w:r>
              <w:rPr>
                <w:rFonts w:ascii="Aptos" w:hAnsi="Aptos"/>
                <w:color w:val="1F2933"/>
                <w:sz w:val="19"/>
              </w:rPr>
              <w:t xml:space="preserve">   ☐ Research Mentor</w:t>
            </w:r>
            <w:r>
              <w:rPr>
                <w:rFonts w:ascii="Aptos" w:hAnsi="Aptos"/>
                <w:color w:val="1F2933"/>
                <w:sz w:val="19"/>
              </w:rPr>
              <w:t xml:space="preserve">   ☐ Course Facilitator</w:t>
            </w:r>
          </w:p>
        </w:tc>
      </w:tr>
      <w:tr>
        <w:tc>
          <w:tcPr>
            <w:tcW w:type="dxa" w:w="9638"/>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pPr>
              <w:spacing w:after="40"/>
            </w:pPr>
            <w:r>
              <w:rPr>
                <w:rFonts w:ascii="Aptos" w:hAnsi="Aptos"/>
                <w:color w:val="1F2933"/>
                <w:sz w:val="19"/>
              </w:rPr>
              <w:t>☐ Methodology Adviser</w:t>
            </w:r>
            <w:r>
              <w:rPr>
                <w:rFonts w:ascii="Aptos" w:hAnsi="Aptos"/>
                <w:color w:val="1F2933"/>
                <w:sz w:val="19"/>
              </w:rPr>
              <w:t xml:space="preserve">   ☐ Academic Writing Adviser</w:t>
            </w:r>
            <w:r>
              <w:rPr>
                <w:rFonts w:ascii="Aptos" w:hAnsi="Aptos"/>
                <w:color w:val="1F2933"/>
                <w:sz w:val="19"/>
              </w:rPr>
              <w:t xml:space="preserve">   ☐ Editor</w:t>
            </w:r>
          </w:p>
        </w:tc>
      </w:tr>
      <w:tr>
        <w:tc>
          <w:tcPr>
            <w:tcW w:type="dxa" w:w="9638"/>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pPr>
              <w:spacing w:after="40"/>
            </w:pPr>
            <w:r>
              <w:rPr>
                <w:rFonts w:ascii="Aptos" w:hAnsi="Aptos"/>
                <w:color w:val="1F2933"/>
                <w:sz w:val="19"/>
              </w:rPr>
              <w:t>☐ Supervisor/Institutional Liaison</w:t>
            </w:r>
            <w:r>
              <w:rPr>
                <w:rFonts w:ascii="Aptos" w:hAnsi="Aptos"/>
                <w:color w:val="1F2933"/>
                <w:sz w:val="19"/>
              </w:rPr>
              <w:t xml:space="preserve">   ☐ Peer Reviewer (separate agreement required)</w:t>
            </w:r>
            <w:r>
              <w:rPr>
                <w:rFonts w:ascii="Aptos" w:hAnsi="Aptos"/>
                <w:color w:val="1F2933"/>
                <w:sz w:val="19"/>
              </w:rPr>
              <w:t xml:space="preserve">   ☐ Other: __________</w:t>
            </w:r>
          </w:p>
        </w:tc>
      </w:tr>
    </w:tbl>
    <w:p>
      <w:pPr>
        <w:pStyle w:val="Heading2"/>
        <w:keepNext/>
      </w:pPr>
      <w:r>
        <w:t>8.2 Areas of Subject Expertise</w:t>
      </w:r>
    </w:p>
    <w:p>
      <w:pPr>
        <w:spacing w:after="100"/>
      </w:pPr>
      <w:r>
        <w:rPr>
          <w:rFonts w:ascii="Aptos" w:hAnsi="Aptos"/>
          <w:color w:val="D6DEE5"/>
          <w:sz w:val="18"/>
        </w:rPr>
        <w:t>________________________________________________________________________________</w:t>
      </w:r>
    </w:p>
    <w:p>
      <w:pPr>
        <w:spacing w:after="100"/>
      </w:pPr>
      <w:r>
        <w:rPr>
          <w:rFonts w:ascii="Aptos" w:hAnsi="Aptos"/>
          <w:color w:val="D6DEE5"/>
          <w:sz w:val="18"/>
        </w:rPr>
        <w:t>________________________________________________________________________________</w:t>
      </w:r>
    </w:p>
    <w:p>
      <w:pPr>
        <w:pStyle w:val="Heading2"/>
        <w:keepNext/>
      </w:pPr>
      <w:r>
        <w:t>8.3 Methodological Expertise</w:t>
      </w:r>
    </w:p>
    <w:tbl>
      <w:tblPr>
        <w:tblW w:type="dxa" w:w="9638"/>
        <w:jc w:val="left"/>
        <w:tblLayout w:type="fixed"/>
        <w:tblLook w:firstColumn="1" w:firstRow="1" w:lastColumn="0" w:lastRow="0" w:noHBand="0" w:noVBand="1" w:val="04A0"/>
        <w:tblInd w:w="120" w:type="dxa"/>
      </w:tblPr>
      <w:tblGrid>
        <w:gridCol w:w="9638"/>
      </w:tblGrid>
      <w:tr>
        <w:tc>
          <w:tcPr>
            <w:tcW w:type="dxa" w:w="9638"/>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pPr>
              <w:spacing w:after="40"/>
            </w:pPr>
            <w:r>
              <w:rPr>
                <w:rFonts w:ascii="Aptos" w:hAnsi="Aptos"/>
                <w:color w:val="1F2933"/>
                <w:sz w:val="19"/>
              </w:rPr>
              <w:t>☐ Qualitative</w:t>
            </w:r>
            <w:r>
              <w:rPr>
                <w:rFonts w:ascii="Aptos" w:hAnsi="Aptos"/>
                <w:color w:val="1F2933"/>
                <w:sz w:val="19"/>
              </w:rPr>
              <w:t xml:space="preserve">   ☐ Quantitative</w:t>
            </w:r>
            <w:r>
              <w:rPr>
                <w:rFonts w:ascii="Aptos" w:hAnsi="Aptos"/>
                <w:color w:val="1F2933"/>
                <w:sz w:val="19"/>
              </w:rPr>
              <w:t xml:space="preserve">   ☐ Mixed methods</w:t>
            </w:r>
            <w:r>
              <w:rPr>
                <w:rFonts w:ascii="Aptos" w:hAnsi="Aptos"/>
                <w:color w:val="1F2933"/>
                <w:sz w:val="19"/>
              </w:rPr>
              <w:t xml:space="preserve">   ☐ Case study</w:t>
            </w:r>
          </w:p>
        </w:tc>
      </w:tr>
      <w:tr>
        <w:tc>
          <w:tcPr>
            <w:tcW w:type="dxa" w:w="9638"/>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pPr>
              <w:spacing w:after="40"/>
            </w:pPr>
            <w:r>
              <w:rPr>
                <w:rFonts w:ascii="Aptos" w:hAnsi="Aptos"/>
                <w:color w:val="1F2933"/>
                <w:sz w:val="19"/>
              </w:rPr>
              <w:t>☐ Survey design</w:t>
            </w:r>
            <w:r>
              <w:rPr>
                <w:rFonts w:ascii="Aptos" w:hAnsi="Aptos"/>
                <w:color w:val="1F2933"/>
                <w:sz w:val="19"/>
              </w:rPr>
              <w:t xml:space="preserve">   ☐ Interviews/FGDs</w:t>
            </w:r>
            <w:r>
              <w:rPr>
                <w:rFonts w:ascii="Aptos" w:hAnsi="Aptos"/>
                <w:color w:val="1F2933"/>
                <w:sz w:val="19"/>
              </w:rPr>
              <w:t xml:space="preserve">   ☐ Document analysis</w:t>
            </w:r>
            <w:r>
              <w:rPr>
                <w:rFonts w:ascii="Aptos" w:hAnsi="Aptos"/>
                <w:color w:val="1F2933"/>
                <w:sz w:val="19"/>
              </w:rPr>
              <w:t xml:space="preserve">   ☐ Observation</w:t>
            </w:r>
          </w:p>
        </w:tc>
      </w:tr>
      <w:tr>
        <w:tc>
          <w:tcPr>
            <w:tcW w:type="dxa" w:w="9638"/>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pPr>
              <w:spacing w:after="40"/>
            </w:pPr>
            <w:r>
              <w:rPr>
                <w:rFonts w:ascii="Aptos" w:hAnsi="Aptos"/>
                <w:color w:val="1F2933"/>
                <w:sz w:val="19"/>
              </w:rPr>
              <w:t>☐ Statistics/SPSS</w:t>
            </w:r>
            <w:r>
              <w:rPr>
                <w:rFonts w:ascii="Aptos" w:hAnsi="Aptos"/>
                <w:color w:val="1F2933"/>
                <w:sz w:val="19"/>
              </w:rPr>
              <w:t xml:space="preserve">   ☐ Thematic analysis</w:t>
            </w:r>
            <w:r>
              <w:rPr>
                <w:rFonts w:ascii="Aptos" w:hAnsi="Aptos"/>
                <w:color w:val="1F2933"/>
                <w:sz w:val="19"/>
              </w:rPr>
              <w:t xml:space="preserve">   ☐ Policy analysis</w:t>
            </w:r>
            <w:r>
              <w:rPr>
                <w:rFonts w:ascii="Aptos" w:hAnsi="Aptos"/>
                <w:color w:val="1F2933"/>
                <w:sz w:val="19"/>
              </w:rPr>
              <w:t xml:space="preserve">   ☐ Other: __________</w:t>
            </w:r>
          </w:p>
        </w:tc>
      </w:tr>
    </w:tbl>
    <w:p>
      <w:pPr>
        <w:pStyle w:val="Heading2"/>
        <w:keepNext/>
      </w:pPr>
      <w:r>
        <w:t>8.4 Learner/Researcher Levels</w:t>
      </w:r>
    </w:p>
    <w:p>
      <w:r>
        <w:rPr>
          <w:rFonts w:ascii="Aptos" w:hAnsi="Aptos"/>
          <w:color w:val="1F2933"/>
          <w:sz w:val="19"/>
        </w:rPr>
        <w:t xml:space="preserve">☐ Undergraduate    </w:t>
      </w:r>
      <w:r>
        <w:rPr>
          <w:rFonts w:ascii="Aptos" w:hAnsi="Aptos"/>
          <w:color w:val="1F2933"/>
          <w:sz w:val="19"/>
        </w:rPr>
        <w:t xml:space="preserve">☐ Postgraduate    </w:t>
      </w:r>
      <w:r>
        <w:rPr>
          <w:rFonts w:ascii="Aptos" w:hAnsi="Aptos"/>
          <w:color w:val="1F2933"/>
          <w:sz w:val="19"/>
        </w:rPr>
        <w:t xml:space="preserve">☐ Early-career researcher    </w:t>
      </w:r>
      <w:r>
        <w:rPr>
          <w:rFonts w:ascii="Aptos" w:hAnsi="Aptos"/>
          <w:color w:val="1F2933"/>
          <w:sz w:val="19"/>
        </w:rPr>
        <w:t xml:space="preserve">☐ Professional researcher    </w:t>
      </w:r>
    </w:p>
    <w:p>
      <w:pPr>
        <w:pStyle w:val="Heading2"/>
        <w:keepNext/>
      </w:pPr>
      <w:r>
        <w:t>8.5 Availability</w:t>
      </w:r>
    </w:p>
    <w:tbl>
      <w:tblPr>
        <w:tblW w:type="dxa" w:w="9638"/>
        <w:jc w:val="left"/>
        <w:tblLayout w:type="fixed"/>
        <w:tblLook w:firstColumn="1" w:firstRow="1" w:lastColumn="0" w:lastRow="0" w:noHBand="0" w:noVBand="1" w:val="04A0"/>
        <w:tblInd w:w="120" w:type="dxa"/>
      </w:tblPr>
      <w:tblGrid>
        <w:gridCol w:w="3150"/>
        <w:gridCol w:w="6488"/>
      </w:tblGrid>
      <w:tr>
        <w:tc>
          <w:tcPr>
            <w:tcW w:type="dxa" w:w="3150"/>
            <w:tcMar>
              <w:top w:w="100" w:type="dxa"/>
              <w:start w:w="120" w:type="dxa"/>
              <w:bottom w:w="100" w:type="dxa"/>
              <w:end w:w="120" w:type="dxa"/>
            </w:tcMar>
            <w:vAlign w:val="center"/>
            <w:shd w:fill="F3F7FA"/>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8"/>
              </w:rPr>
              <w:t>Approximate hours per month</w:t>
            </w:r>
          </w:p>
        </w:tc>
        <w:tc>
          <w:tcPr>
            <w:tcW w:type="dxa" w:w="6488"/>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color w:val="1F2933"/>
                <w:sz w:val="18"/>
              </w:rPr>
              <w:t xml:space="preserve"> </w:t>
            </w:r>
          </w:p>
        </w:tc>
      </w:tr>
      <w:tr>
        <w:tc>
          <w:tcPr>
            <w:tcW w:type="dxa" w:w="3150"/>
            <w:tcMar>
              <w:top w:w="100" w:type="dxa"/>
              <w:start w:w="120" w:type="dxa"/>
              <w:bottom w:w="100" w:type="dxa"/>
              <w:end w:w="120" w:type="dxa"/>
            </w:tcMar>
            <w:vAlign w:val="center"/>
            <w:shd w:fill="F3F7FA"/>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8"/>
              </w:rPr>
              <w:t>Preferred assignment frequency</w:t>
            </w:r>
          </w:p>
        </w:tc>
        <w:tc>
          <w:tcPr>
            <w:tcW w:type="dxa" w:w="6488"/>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color w:val="1F2933"/>
                <w:sz w:val="18"/>
              </w:rPr>
              <w:t>☐ Occasional   ☐ Monthly   ☐ As available</w:t>
            </w:r>
          </w:p>
        </w:tc>
      </w:tr>
      <w:tr>
        <w:tc>
          <w:tcPr>
            <w:tcW w:type="dxa" w:w="3150"/>
            <w:tcMar>
              <w:top w:w="100" w:type="dxa"/>
              <w:start w:w="120" w:type="dxa"/>
              <w:bottom w:w="100" w:type="dxa"/>
              <w:end w:w="120" w:type="dxa"/>
            </w:tcMar>
            <w:vAlign w:val="center"/>
            <w:shd w:fill="F3F7FA"/>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8"/>
              </w:rPr>
              <w:t>Typical response time</w:t>
            </w:r>
          </w:p>
        </w:tc>
        <w:tc>
          <w:tcPr>
            <w:tcW w:type="dxa" w:w="6488"/>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color w:val="1F2933"/>
                <w:sz w:val="18"/>
              </w:rPr>
              <w:t>☐ 3 days   ☐ 5 days   ☐ 7 days   ☐ Other: ______</w:t>
            </w:r>
          </w:p>
        </w:tc>
      </w:tr>
      <w:tr>
        <w:tc>
          <w:tcPr>
            <w:tcW w:type="dxa" w:w="3150"/>
            <w:tcMar>
              <w:top w:w="100" w:type="dxa"/>
              <w:start w:w="120" w:type="dxa"/>
              <w:bottom w:w="100" w:type="dxa"/>
              <w:end w:w="120" w:type="dxa"/>
            </w:tcMar>
            <w:vAlign w:val="center"/>
            <w:shd w:fill="F3F7FA"/>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8"/>
              </w:rPr>
              <w:t>Participation preference</w:t>
            </w:r>
          </w:p>
        </w:tc>
        <w:tc>
          <w:tcPr>
            <w:tcW w:type="dxa" w:w="6488"/>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color w:val="1F2933"/>
                <w:sz w:val="18"/>
              </w:rPr>
              <w:t>☐ Voluntary   ☐ Recognised   ☐ Paid where available</w:t>
            </w:r>
          </w:p>
        </w:tc>
      </w:tr>
      <w:tr>
        <w:tc>
          <w:tcPr>
            <w:tcW w:type="dxa" w:w="3150"/>
            <w:tcMar>
              <w:top w:w="100" w:type="dxa"/>
              <w:start w:w="120" w:type="dxa"/>
              <w:bottom w:w="100" w:type="dxa"/>
              <w:end w:w="120" w:type="dxa"/>
            </w:tcMar>
            <w:vAlign w:val="center"/>
            <w:shd w:fill="F3F7FA"/>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8"/>
              </w:rPr>
              <w:t>Unavailable periods</w:t>
            </w:r>
          </w:p>
        </w:tc>
        <w:tc>
          <w:tcPr>
            <w:tcW w:type="dxa" w:w="6488"/>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color w:val="1F2933"/>
                <w:sz w:val="18"/>
              </w:rPr>
              <w:t xml:space="preserve"> </w:t>
            </w:r>
          </w:p>
        </w:tc>
      </w:tr>
    </w:tbl>
    <w:p>
      <w:r>
        <w:br w:type="page"/>
      </w:r>
    </w:p>
    <w:p>
      <w:pPr>
        <w:pStyle w:val="Heading1"/>
        <w:keepNext/>
      </w:pPr>
      <w:r>
        <w:t>9. Acceptance and Declarations</w:t>
      </w:r>
    </w:p>
    <w:p>
      <w:r>
        <w:t>By signing below, I declare and agree that:</w:t>
      </w:r>
    </w:p>
    <w:p>
      <w:pPr>
        <w:pStyle w:val="RBNumber"/>
        <w:numPr>
          <w:ilvl w:val="0"/>
          <w:numId w:val="14"/>
        </w:numPr>
        <w:spacing w:after="50" w:line="252" w:lineRule="auto"/>
      </w:pPr>
      <w:r>
        <w:rPr>
          <w:rFonts w:ascii="Aptos" w:hAnsi="Aptos"/>
          <w:color w:val="1F2933"/>
          <w:sz w:val="18"/>
        </w:rPr>
        <w:t>The information and documents I provide are accurate and may be verified for membership purposes.</w:t>
      </w:r>
    </w:p>
    <w:p>
      <w:pPr>
        <w:pStyle w:val="RBNumber"/>
        <w:numPr>
          <w:ilvl w:val="0"/>
          <w:numId w:val="14"/>
        </w:numPr>
        <w:spacing w:after="50" w:line="252" w:lineRule="auto"/>
      </w:pPr>
      <w:r>
        <w:rPr>
          <w:rFonts w:ascii="Aptos" w:hAnsi="Aptos"/>
          <w:color w:val="1F2933"/>
          <w:sz w:val="18"/>
        </w:rPr>
        <w:t>I have read and accept this Lecturer Invitation and Membership Pack, including the Lecturer Code of Conduct.</w:t>
      </w:r>
    </w:p>
    <w:p>
      <w:pPr>
        <w:pStyle w:val="RBNumber"/>
        <w:numPr>
          <w:ilvl w:val="0"/>
          <w:numId w:val="14"/>
        </w:numPr>
        <w:spacing w:after="50" w:line="252" w:lineRule="auto"/>
      </w:pPr>
      <w:r>
        <w:rPr>
          <w:rFonts w:ascii="Aptos" w:hAnsi="Aptos"/>
          <w:color w:val="1F2933"/>
          <w:sz w:val="18"/>
        </w:rPr>
        <w:t>I will accept only assignments within my competence, capacity and authorised role.</w:t>
      </w:r>
    </w:p>
    <w:p>
      <w:pPr>
        <w:pStyle w:val="RBNumber"/>
        <w:numPr>
          <w:ilvl w:val="0"/>
          <w:numId w:val="14"/>
        </w:numPr>
        <w:spacing w:after="50" w:line="252" w:lineRule="auto"/>
      </w:pPr>
      <w:r>
        <w:rPr>
          <w:rFonts w:ascii="Aptos" w:hAnsi="Aptos"/>
          <w:color w:val="1F2933"/>
          <w:sz w:val="18"/>
        </w:rPr>
        <w:t>I will protect confidential and personal information and use it only for the assigned purpose.</w:t>
      </w:r>
    </w:p>
    <w:p>
      <w:pPr>
        <w:pStyle w:val="RBNumber"/>
        <w:numPr>
          <w:ilvl w:val="0"/>
          <w:numId w:val="14"/>
        </w:numPr>
        <w:spacing w:after="50" w:line="252" w:lineRule="auto"/>
      </w:pPr>
      <w:r>
        <w:rPr>
          <w:rFonts w:ascii="Aptos" w:hAnsi="Aptos"/>
          <w:color w:val="1F2933"/>
          <w:sz w:val="18"/>
        </w:rPr>
        <w:t>I will declare conflicts of interest promptly and follow the decision on management or reassignment.</w:t>
      </w:r>
    </w:p>
    <w:p>
      <w:pPr>
        <w:pStyle w:val="RBNumber"/>
        <w:numPr>
          <w:ilvl w:val="0"/>
          <w:numId w:val="14"/>
        </w:numPr>
        <w:spacing w:after="50" w:line="252" w:lineRule="auto"/>
      </w:pPr>
      <w:r>
        <w:rPr>
          <w:rFonts w:ascii="Aptos" w:hAnsi="Aptos"/>
          <w:color w:val="1F2933"/>
          <w:sz w:val="18"/>
        </w:rPr>
        <w:t>I will not ghost-write assessed work, fabricate evidence, facilitate plagiarism or promise academic or publication outcomes.</w:t>
      </w:r>
    </w:p>
    <w:p>
      <w:pPr>
        <w:pStyle w:val="RBNumber"/>
        <w:numPr>
          <w:ilvl w:val="0"/>
          <w:numId w:val="14"/>
        </w:numPr>
        <w:spacing w:after="50" w:line="252" w:lineRule="auto"/>
      </w:pPr>
      <w:r>
        <w:rPr>
          <w:rFonts w:ascii="Aptos" w:hAnsi="Aptos"/>
          <w:color w:val="1F2933"/>
          <w:sz w:val="18"/>
        </w:rPr>
        <w:t>I understand that membership is not employment and does not guarantee assignments, fees or institutional endorsement.</w:t>
      </w:r>
    </w:p>
    <w:p>
      <w:pPr>
        <w:pStyle w:val="RBNumber"/>
        <w:numPr>
          <w:ilvl w:val="0"/>
          <w:numId w:val="14"/>
        </w:numPr>
        <w:spacing w:after="50" w:line="252" w:lineRule="auto"/>
      </w:pPr>
      <w:r>
        <w:rPr>
          <w:rFonts w:ascii="Aptos" w:hAnsi="Aptos"/>
          <w:color w:val="1F2933"/>
          <w:sz w:val="18"/>
        </w:rPr>
        <w:t>I understand that paid work, if offered, requires a separate written assignment or schedule.</w:t>
      </w:r>
    </w:p>
    <w:p>
      <w:pPr>
        <w:pStyle w:val="RBNumber"/>
        <w:numPr>
          <w:ilvl w:val="0"/>
          <w:numId w:val="14"/>
        </w:numPr>
        <w:spacing w:after="50" w:line="252" w:lineRule="auto"/>
      </w:pPr>
      <w:r>
        <w:rPr>
          <w:rFonts w:ascii="Aptos" w:hAnsi="Aptos"/>
          <w:color w:val="1F2933"/>
          <w:sz w:val="18"/>
        </w:rPr>
        <w:t>I authorise ResearchBridge Africa to display my approved professional profile and expertise, subject to applicable privacy choices and platform policy.</w:t>
      </w:r>
    </w:p>
    <w:p>
      <w:pPr>
        <w:pStyle w:val="RBNumber"/>
        <w:numPr>
          <w:ilvl w:val="0"/>
          <w:numId w:val="14"/>
        </w:numPr>
        <w:spacing w:after="50" w:line="252" w:lineRule="auto"/>
      </w:pPr>
      <w:r>
        <w:rPr>
          <w:rFonts w:ascii="Aptos" w:hAnsi="Aptos"/>
          <w:color w:val="1F2933"/>
          <w:sz w:val="18"/>
        </w:rPr>
        <w:t>I will notify ResearchBridge Africa if my affiliation, qualifications, availability or other material membership information changes.</w:t>
      </w:r>
    </w:p>
    <w:p>
      <w:pPr>
        <w:pStyle w:val="Heading2"/>
        <w:keepNext/>
      </w:pPr>
      <w:r>
        <w:t>9.1 Conflict and Prior Relationship Disclosure</w:t>
      </w:r>
    </w:p>
    <w:p>
      <w:r>
        <w:rPr>
          <w:rFonts w:ascii="Aptos" w:hAnsi="Aptos"/>
          <w:b/>
          <w:color w:val="17365D"/>
        </w:rPr>
        <w:t xml:space="preserve">Do you presently know of any matter that may affect your impartial participation?  </w:t>
      </w:r>
      <w:r>
        <w:rPr>
          <w:rFonts w:ascii="Aptos" w:hAnsi="Aptos"/>
          <w:color w:val="1F2933"/>
        </w:rPr>
        <w:t>☐ No   ☐ Yes (explain below)</w:t>
      </w:r>
    </w:p>
    <w:p>
      <w:pPr>
        <w:spacing w:after="80"/>
      </w:pPr>
      <w:r>
        <w:rPr>
          <w:rFonts w:ascii="Aptos" w:hAnsi="Aptos"/>
          <w:color w:val="D6DEE5"/>
          <w:sz w:val="18"/>
        </w:rPr>
        <w:t>________________________________________________________________________________</w:t>
      </w:r>
    </w:p>
    <w:p>
      <w:pPr>
        <w:spacing w:after="80"/>
      </w:pPr>
      <w:r>
        <w:rPr>
          <w:rFonts w:ascii="Aptos" w:hAnsi="Aptos"/>
          <w:color w:val="D6DEE5"/>
          <w:sz w:val="18"/>
        </w:rPr>
        <w:t>________________________________________________________________________________</w:t>
      </w:r>
    </w:p>
    <w:p>
      <w:pPr>
        <w:pStyle w:val="Heading2"/>
        <w:keepNext/>
      </w:pPr>
      <w:r>
        <w:t>9.2 Applicant Signature</w:t>
      </w:r>
    </w:p>
    <w:tbl>
      <w:tblPr>
        <w:tblW w:type="dxa" w:w="9638"/>
        <w:jc w:val="left"/>
        <w:tblLayout w:type="fixed"/>
        <w:tblLook w:firstColumn="1" w:firstRow="1" w:lastColumn="0" w:lastRow="0" w:noHBand="0" w:noVBand="1" w:val="04A0"/>
        <w:tblInd w:w="120" w:type="dxa"/>
      </w:tblPr>
      <w:tblGrid>
        <w:gridCol w:w="4819"/>
        <w:gridCol w:w="4819"/>
      </w:tblGrid>
      <w:tr>
        <w:tc>
          <w:tcPr>
            <w:tcW w:type="dxa" w:w="4819"/>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7"/>
              </w:rPr>
              <w:t>Full name</w:t>
              <w:br/>
              <w:br/>
            </w:r>
          </w:p>
        </w:tc>
        <w:tc>
          <w:tcPr>
            <w:tcW w:type="dxa" w:w="4819"/>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7"/>
              </w:rPr>
              <w:t>Signature</w:t>
              <w:br/>
              <w:br/>
            </w:r>
          </w:p>
        </w:tc>
      </w:tr>
      <w:tr>
        <w:tc>
          <w:tcPr>
            <w:tcW w:type="dxa" w:w="4819"/>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7"/>
              </w:rPr>
              <w:t>Date</w:t>
              <w:br/>
              <w:br/>
            </w:r>
          </w:p>
        </w:tc>
        <w:tc>
          <w:tcPr>
            <w:tcW w:type="dxa" w:w="4819"/>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7"/>
              </w:rPr>
              <w:t>Place</w:t>
              <w:br/>
              <w:br/>
            </w:r>
          </w:p>
        </w:tc>
      </w:tr>
      <w:tr>
        <w:tc>
          <w:tcPr>
            <w:tcW w:type="dxa" w:w="4819"/>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7"/>
              </w:rPr>
              <w:t>Preferred email</w:t>
              <w:br/>
              <w:br/>
            </w:r>
          </w:p>
        </w:tc>
        <w:tc>
          <w:tcPr>
            <w:tcW w:type="dxa" w:w="4819"/>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7"/>
              </w:rPr>
              <w:t>Telephone</w:t>
              <w:br/>
              <w:br/>
            </w:r>
          </w:p>
        </w:tc>
      </w:tr>
      <w:tr>
        <w:tc>
          <w:tcPr>
            <w:tcW w:type="dxa" w:w="4819"/>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7"/>
              </w:rPr>
              <w:t>Institutional confirmation/contact, if required</w:t>
              <w:br/>
              <w:br/>
            </w:r>
          </w:p>
        </w:tc>
        <w:tc>
          <w:tcPr>
            <w:tcW w:type="dxa" w:w="4819"/>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7"/>
              </w:rPr>
              <w:t>Name/position</w:t>
              <w:br/>
              <w:br/>
            </w:r>
          </w:p>
        </w:tc>
      </w:tr>
    </w:tbl>
    <w:p>
      <w:r>
        <w:br w:type="page"/>
      </w:r>
    </w:p>
    <w:p>
      <w:pPr>
        <w:pStyle w:val="Heading1"/>
        <w:keepNext/>
      </w:pPr>
      <w:r>
        <w:t>10. Membership Decision and Onboarding</w:t>
      </w:r>
    </w:p>
    <w:p>
      <w:pPr>
        <w:pStyle w:val="Heading2"/>
        <w:keepNext/>
      </w:pPr>
      <w:r>
        <w:t>10.1 For ResearchBridge Africa Use</w:t>
      </w:r>
    </w:p>
    <w:tbl>
      <w:tblPr>
        <w:tblW w:type="dxa" w:w="9638"/>
        <w:jc w:val="left"/>
        <w:tblLayout w:type="fixed"/>
        <w:tblLook w:firstColumn="1" w:firstRow="1" w:lastColumn="0" w:lastRow="0" w:noHBand="0" w:noVBand="1" w:val="04A0"/>
        <w:tblInd w:w="120" w:type="dxa"/>
      </w:tblPr>
      <w:tblGrid>
        <w:gridCol w:w="3150"/>
        <w:gridCol w:w="6488"/>
      </w:tblGrid>
      <w:tr>
        <w:tc>
          <w:tcPr>
            <w:tcW w:type="dxa" w:w="3150"/>
            <w:tcMar>
              <w:top w:w="65" w:type="dxa"/>
              <w:start w:w="120" w:type="dxa"/>
              <w:bottom w:w="65" w:type="dxa"/>
              <w:end w:w="120" w:type="dxa"/>
            </w:tcMar>
            <w:vAlign w:val="center"/>
            <w:shd w:fill="F3F7FA"/>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8"/>
              </w:rPr>
              <w:t>Application received</w:t>
            </w:r>
          </w:p>
        </w:tc>
        <w:tc>
          <w:tcPr>
            <w:tcW w:type="dxa" w:w="6488"/>
            <w:tcMar>
              <w:top w:w="65" w:type="dxa"/>
              <w:start w:w="120" w:type="dxa"/>
              <w:bottom w:w="65"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color w:val="1F2933"/>
                <w:sz w:val="18"/>
              </w:rPr>
              <w:t xml:space="preserve"> </w:t>
            </w:r>
          </w:p>
        </w:tc>
      </w:tr>
      <w:tr>
        <w:tc>
          <w:tcPr>
            <w:tcW w:type="dxa" w:w="3150"/>
            <w:tcMar>
              <w:top w:w="65" w:type="dxa"/>
              <w:start w:w="120" w:type="dxa"/>
              <w:bottom w:w="65" w:type="dxa"/>
              <w:end w:w="120" w:type="dxa"/>
            </w:tcMar>
            <w:vAlign w:val="center"/>
            <w:shd w:fill="F3F7FA"/>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8"/>
              </w:rPr>
              <w:t>Identity/qualification checked</w:t>
            </w:r>
          </w:p>
        </w:tc>
        <w:tc>
          <w:tcPr>
            <w:tcW w:type="dxa" w:w="6488"/>
            <w:tcMar>
              <w:top w:w="65" w:type="dxa"/>
              <w:start w:w="120" w:type="dxa"/>
              <w:bottom w:w="65"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color w:val="1F2933"/>
                <w:sz w:val="18"/>
              </w:rPr>
              <w:t>☐ Complete   ☐ Pending   ☐ Not required</w:t>
            </w:r>
          </w:p>
        </w:tc>
      </w:tr>
      <w:tr>
        <w:tc>
          <w:tcPr>
            <w:tcW w:type="dxa" w:w="3150"/>
            <w:tcMar>
              <w:top w:w="65" w:type="dxa"/>
              <w:start w:w="120" w:type="dxa"/>
              <w:bottom w:w="65" w:type="dxa"/>
              <w:end w:w="120" w:type="dxa"/>
            </w:tcMar>
            <w:vAlign w:val="center"/>
            <w:shd w:fill="F3F7FA"/>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8"/>
              </w:rPr>
              <w:t>Affiliation checked</w:t>
            </w:r>
          </w:p>
        </w:tc>
        <w:tc>
          <w:tcPr>
            <w:tcW w:type="dxa" w:w="6488"/>
            <w:tcMar>
              <w:top w:w="65" w:type="dxa"/>
              <w:start w:w="120" w:type="dxa"/>
              <w:bottom w:w="65"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color w:val="1F2933"/>
                <w:sz w:val="18"/>
              </w:rPr>
              <w:t>☐ Verified   ☐ Independent profile verified   ☐ Pending</w:t>
            </w:r>
          </w:p>
        </w:tc>
      </w:tr>
      <w:tr>
        <w:tc>
          <w:tcPr>
            <w:tcW w:type="dxa" w:w="3150"/>
            <w:tcMar>
              <w:top w:w="65" w:type="dxa"/>
              <w:start w:w="120" w:type="dxa"/>
              <w:bottom w:w="65" w:type="dxa"/>
              <w:end w:w="120" w:type="dxa"/>
            </w:tcMar>
            <w:vAlign w:val="center"/>
            <w:shd w:fill="F3F7FA"/>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8"/>
              </w:rPr>
              <w:t>Role/expertise review</w:t>
            </w:r>
          </w:p>
        </w:tc>
        <w:tc>
          <w:tcPr>
            <w:tcW w:type="dxa" w:w="6488"/>
            <w:tcMar>
              <w:top w:w="65" w:type="dxa"/>
              <w:start w:w="120" w:type="dxa"/>
              <w:bottom w:w="65"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color w:val="1F2933"/>
                <w:sz w:val="18"/>
              </w:rPr>
              <w:t>☐ Suitable   ☐ Clarification required   ☐ Not approved</w:t>
            </w:r>
          </w:p>
        </w:tc>
      </w:tr>
      <w:tr>
        <w:tc>
          <w:tcPr>
            <w:tcW w:type="dxa" w:w="3150"/>
            <w:tcMar>
              <w:top w:w="65" w:type="dxa"/>
              <w:start w:w="120" w:type="dxa"/>
              <w:bottom w:w="65" w:type="dxa"/>
              <w:end w:w="120" w:type="dxa"/>
            </w:tcMar>
            <w:vAlign w:val="center"/>
            <w:shd w:fill="F3F7FA"/>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8"/>
              </w:rPr>
              <w:t>Membership decision</w:t>
            </w:r>
          </w:p>
        </w:tc>
        <w:tc>
          <w:tcPr>
            <w:tcW w:type="dxa" w:w="6488"/>
            <w:tcMar>
              <w:top w:w="65" w:type="dxa"/>
              <w:start w:w="120" w:type="dxa"/>
              <w:bottom w:w="65"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color w:val="1F2933"/>
                <w:sz w:val="18"/>
              </w:rPr>
              <w:t>☐ Approved   ☐ Conditionally approved   ☐ Declined</w:t>
            </w:r>
          </w:p>
        </w:tc>
      </w:tr>
      <w:tr>
        <w:tc>
          <w:tcPr>
            <w:tcW w:type="dxa" w:w="3150"/>
            <w:tcMar>
              <w:top w:w="65" w:type="dxa"/>
              <w:start w:w="120" w:type="dxa"/>
              <w:bottom w:w="65" w:type="dxa"/>
              <w:end w:w="120" w:type="dxa"/>
            </w:tcMar>
            <w:vAlign w:val="center"/>
            <w:shd w:fill="F3F7FA"/>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8"/>
              </w:rPr>
              <w:t>Approved roles</w:t>
            </w:r>
          </w:p>
        </w:tc>
        <w:tc>
          <w:tcPr>
            <w:tcW w:type="dxa" w:w="6488"/>
            <w:tcMar>
              <w:top w:w="65" w:type="dxa"/>
              <w:start w:w="120" w:type="dxa"/>
              <w:bottom w:w="65"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color w:val="1F2933"/>
                <w:sz w:val="18"/>
              </w:rPr>
              <w:t xml:space="preserve"> </w:t>
            </w:r>
          </w:p>
        </w:tc>
      </w:tr>
      <w:tr>
        <w:tc>
          <w:tcPr>
            <w:tcW w:type="dxa" w:w="3150"/>
            <w:tcMar>
              <w:top w:w="65" w:type="dxa"/>
              <w:start w:w="120" w:type="dxa"/>
              <w:bottom w:w="65" w:type="dxa"/>
              <w:end w:w="120" w:type="dxa"/>
            </w:tcMar>
            <w:vAlign w:val="center"/>
            <w:shd w:fill="F3F7FA"/>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8"/>
              </w:rPr>
              <w:t>Membership review date</w:t>
            </w:r>
          </w:p>
        </w:tc>
        <w:tc>
          <w:tcPr>
            <w:tcW w:type="dxa" w:w="6488"/>
            <w:tcMar>
              <w:top w:w="65" w:type="dxa"/>
              <w:start w:w="120" w:type="dxa"/>
              <w:bottom w:w="65"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color w:val="1F2933"/>
                <w:sz w:val="18"/>
              </w:rPr>
              <w:t xml:space="preserve"> </w:t>
            </w:r>
          </w:p>
        </w:tc>
      </w:tr>
      <w:tr>
        <w:tc>
          <w:tcPr>
            <w:tcW w:type="dxa" w:w="3150"/>
            <w:tcMar>
              <w:top w:w="65" w:type="dxa"/>
              <w:start w:w="120" w:type="dxa"/>
              <w:bottom w:w="65" w:type="dxa"/>
              <w:end w:w="120" w:type="dxa"/>
            </w:tcMar>
            <w:vAlign w:val="center"/>
            <w:shd w:fill="F3F7FA"/>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8"/>
              </w:rPr>
              <w:t>Authorised officer/name/date</w:t>
            </w:r>
          </w:p>
        </w:tc>
        <w:tc>
          <w:tcPr>
            <w:tcW w:type="dxa" w:w="6488"/>
            <w:tcMar>
              <w:top w:w="65" w:type="dxa"/>
              <w:start w:w="120" w:type="dxa"/>
              <w:bottom w:w="65"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color w:val="1F2933"/>
                <w:sz w:val="18"/>
              </w:rPr>
              <w:t xml:space="preserve"> </w:t>
            </w:r>
          </w:p>
        </w:tc>
      </w:tr>
    </w:tbl>
    <w:p>
      <w:pPr>
        <w:pStyle w:val="Heading2"/>
        <w:keepNext/>
      </w:pPr>
      <w:r>
        <w:t>10.2 Onboarding Checklist</w:t>
      </w:r>
    </w:p>
    <w:p>
      <w:pPr>
        <w:pStyle w:val="RBBullet"/>
        <w:numPr>
          <w:ilvl w:val="0"/>
          <w:numId w:val="10"/>
        </w:numPr>
        <w:spacing w:after="50"/>
      </w:pPr>
      <w:r>
        <w:t>☐ Membership approval communicated.</w:t>
      </w:r>
    </w:p>
    <w:p>
      <w:pPr>
        <w:pStyle w:val="RBBullet"/>
        <w:numPr>
          <w:ilvl w:val="0"/>
          <w:numId w:val="10"/>
        </w:numPr>
        <w:spacing w:after="50"/>
      </w:pPr>
      <w:r>
        <w:t>☐ Profile details and public visibility choices confirmed.</w:t>
      </w:r>
    </w:p>
    <w:p>
      <w:pPr>
        <w:pStyle w:val="RBBullet"/>
        <w:numPr>
          <w:ilvl w:val="0"/>
          <w:numId w:val="10"/>
        </w:numPr>
        <w:spacing w:after="50"/>
      </w:pPr>
      <w:r>
        <w:t>☐ Role boundaries, academic integrity and confidentiality explained.</w:t>
      </w:r>
    </w:p>
    <w:p>
      <w:pPr>
        <w:pStyle w:val="RBBullet"/>
        <w:numPr>
          <w:ilvl w:val="0"/>
          <w:numId w:val="10"/>
        </w:numPr>
        <w:spacing w:after="50"/>
      </w:pPr>
      <w:r>
        <w:t>☐ Platform access and account security completed.</w:t>
      </w:r>
    </w:p>
    <w:p>
      <w:pPr>
        <w:pStyle w:val="RBBullet"/>
        <w:numPr>
          <w:ilvl w:val="0"/>
          <w:numId w:val="10"/>
        </w:numPr>
        <w:spacing w:after="50"/>
      </w:pPr>
      <w:r>
        <w:t>☐ Consultation or assignment workflow demonstrated.</w:t>
      </w:r>
    </w:p>
    <w:p>
      <w:pPr>
        <w:pStyle w:val="RBBullet"/>
        <w:numPr>
          <w:ilvl w:val="0"/>
          <w:numId w:val="10"/>
        </w:numPr>
        <w:spacing w:after="50"/>
      </w:pPr>
      <w:r>
        <w:t>☐ Conflict-of-interest reporting route explained.</w:t>
      </w:r>
    </w:p>
    <w:p>
      <w:pPr>
        <w:pStyle w:val="RBBullet"/>
        <w:numPr>
          <w:ilvl w:val="0"/>
          <w:numId w:val="10"/>
        </w:numPr>
        <w:spacing w:after="50"/>
      </w:pPr>
      <w:r>
        <w:t>☐ Availability and notification preferences recorded.</w:t>
      </w:r>
    </w:p>
    <w:p>
      <w:pPr>
        <w:pStyle w:val="RBBullet"/>
        <w:numPr>
          <w:ilvl w:val="0"/>
          <w:numId w:val="10"/>
        </w:numPr>
        <w:spacing w:after="50"/>
      </w:pPr>
      <w:r>
        <w:t>☐ First activity or pilot assignment agreed, where applicable.</w:t>
      </w:r>
    </w:p>
    <w:p>
      <w:pPr>
        <w:pStyle w:val="Heading2"/>
        <w:keepNext/>
      </w:pPr>
      <w:r>
        <w:t>10.3 Membership Review, Suspension and Exit</w:t>
      </w:r>
    </w:p>
    <w:p>
      <w:r>
        <w:t>Membership may be reviewed periodically for activity, timeliness, quality, verification status and compliance. A lecturer may request a pause or withdrawal. ResearchBridge Africa may restrict or end membership for inactivity, inaccurate information, unsafe access, poor-quality performance or misconduct, subject to appropriate notice and review except where urgent protection is required.</w:t>
      </w:r>
    </w:p>
    <w:tbl>
      <w:tblPr>
        <w:tblW w:type="dxa" w:w="9638"/>
        <w:jc w:val="left"/>
        <w:tblLayout w:type="fixed"/>
        <w:tblLook w:firstColumn="1" w:firstRow="1" w:lastColumn="0" w:lastRow="0" w:noHBand="0" w:noVBand="1" w:val="04A0"/>
        <w:tblInd w:w="120" w:type="dxa"/>
      </w:tblPr>
      <w:tblGrid>
        <w:gridCol w:w="9638"/>
      </w:tblGrid>
      <w:tr>
        <w:tc>
          <w:tcPr>
            <w:tcW w:type="dxa" w:w="9638"/>
            <w:tcMar>
              <w:top w:w="100" w:type="dxa"/>
              <w:start w:w="120" w:type="dxa"/>
              <w:bottom w:w="100" w:type="dxa"/>
              <w:end w:w="120" w:type="dxa"/>
            </w:tcMar>
            <w:vAlign w:val="center"/>
            <w:shd w:fill="F3F7FA"/>
            <w:tcBorders>
              <w:top w:val="single" w:sz="2" w:color="F3F7FA"/>
              <w:left w:val="single" w:sz="2" w:color="F3F7FA"/>
              <w:bottom w:val="single" w:sz="2" w:color="F3F7FA"/>
              <w:right w:val="single" w:sz="2" w:color="F3F7FA"/>
              <w:insideH w:val="single" w:sz="2" w:color="F3F7FA"/>
              <w:insideV w:val="single" w:sz="2" w:color="F3F7FA"/>
            </w:tcBorders>
          </w:tcPr>
          <w:p>
            <w:pPr>
              <w:spacing w:after="0"/>
            </w:pPr>
            <w:r>
              <w:rPr>
                <w:rFonts w:ascii="Aptos" w:hAnsi="Aptos"/>
                <w:b/>
                <w:color w:val="17365D"/>
              </w:rPr>
              <w:t xml:space="preserve">Document status  </w:t>
            </w:r>
            <w:r>
              <w:rPr>
                <w:rFonts w:ascii="Aptos" w:hAnsi="Aptos"/>
                <w:color w:val="1F2933"/>
              </w:rPr>
              <w:t>This master pack is an invitation and membership framework. It does not replace an institution-specific agreement, a paid assignment schedule, the General Membership Policy or the separate Peer Reviewer Agreement.</w:t>
            </w:r>
          </w:p>
        </w:tc>
      </w:tr>
    </w:tbl>
    <w:p>
      <w:pPr>
        <w:spacing w:after="0"/>
      </w:pPr>
    </w:p>
    <w:p>
      <w:pPr>
        <w:spacing w:before="400"/>
        <w:jc w:val="center"/>
      </w:pPr>
      <w:r>
        <w:rPr>
          <w:rFonts w:ascii="Aptos" w:hAnsi="Aptos"/>
          <w:b/>
          <w:color w:val="17365D"/>
          <w:sz w:val="22"/>
        </w:rPr>
        <w:t>RESEARCHBRIDGE AFRICA</w:t>
      </w:r>
    </w:p>
    <w:p>
      <w:pPr>
        <w:jc w:val="center"/>
      </w:pPr>
      <w:r>
        <w:rPr>
          <w:rFonts w:ascii="Aptos" w:hAnsi="Aptos"/>
          <w:i/>
          <w:color w:val="1B7F86"/>
          <w:sz w:val="20"/>
        </w:rPr>
        <w:t>Learn. Develop. Review. Publish. Impact.</w:t>
      </w:r>
    </w:p>
    <w:p>
      <w:pPr>
        <w:jc w:val="center"/>
      </w:pPr>
      <w:r>
        <w:rPr>
          <w:rFonts w:ascii="Aptos" w:hAnsi="Aptos"/>
          <w:color w:val="5F6B76"/>
          <w:sz w:val="19"/>
        </w:rPr>
        <w:t>researchbridge-africa.xanderamoah.chatgpt.site</w:t>
      </w:r>
    </w:p>
    <w:sectPr w:rsidR="00FC693F" w:rsidRPr="0006063C" w:rsidSect="00034616">
      <w:headerReference w:type="default" r:id="rId9"/>
      <w:headerReference w:type="first" r:id="rId10"/>
      <w:footerReference w:type="default" r:id="rId11"/>
      <w:footerReference w:type="first" r:id="rId12"/>
      <w:pgSz w:w="11905" w:h="16838"/>
      <w:pgMar w:top="1134" w:right="1134" w:bottom="1134" w:left="1134" w:header="504" w:footer="50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F6B76"/>
        <w:sz w:val="17"/>
      </w:rPr>
      <w:t xml:space="preserve">researchbridge-africa.xanderamoah.chatgpt.site   •   Page </w:t>
    </w:r>
    <w:r>
      <w:rPr>
        <w:rFonts w:ascii="Aptos" w:hAnsi="Aptos"/>
        <w:color w:val="5F6B76"/>
        <w:sz w:val="17"/>
      </w:rPr>
      <w:fldChar w:fldCharType="begin"/>
      <w:instrText xml:space="preserve">PAGE</w:instrText>
      <w:fldChar w:fldCharType="end"/>
    </w:r>
    <w:r>
      <w:rPr>
        <w:rFonts w:ascii="Aptos" w:hAnsi="Aptos"/>
        <w:color w:val="5F6B76"/>
        <w:sz w:val="17"/>
      </w:rPr>
      <w:t xml:space="preserve"> of </w:t>
    </w:r>
    <w:r>
      <w:rPr>
        <w:rFonts w:ascii="Aptos" w:hAnsi="Aptos"/>
        <w:color w:val="5F6B76"/>
        <w:sz w:val="17"/>
      </w:rPr>
      <w:fldChar w:fldCharType="begin"/>
      <w:instrText xml:space="preserve">NUMPAGES</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F6B76"/>
        <w:sz w:val="17"/>
      </w:rPr>
      <w:t>researchbridge-africa.xanderamoah.chatgpt.site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4" w:space="3" w:color="D6DEE5"/>
      </w:pBdr>
    </w:pPr>
    <w:r>
      <w:drawing>
        <wp:inline xmlns:a="http://schemas.openxmlformats.org/drawingml/2006/main" xmlns:pic="http://schemas.openxmlformats.org/drawingml/2006/picture">
          <wp:extent cx="1572768" cy="417736"/>
          <wp:docPr id="1" name="Picture 1"/>
          <wp:cNvGraphicFramePr>
            <a:graphicFrameLocks noChangeAspect="1"/>
          </wp:cNvGraphicFramePr>
          <a:graphic>
            <a:graphicData uri="http://schemas.openxmlformats.org/drawingml/2006/picture">
              <pic:pic>
                <pic:nvPicPr>
                  <pic:cNvPr id="0" name="ResearchBridge_Africa_Logo_Primary.png"/>
                  <pic:cNvPicPr/>
                </pic:nvPicPr>
                <pic:blipFill>
                  <a:blip r:embed="rId1"/>
                  <a:stretch>
                    <a:fillRect/>
                  </a:stretch>
                </pic:blipFill>
                <pic:spPr>
                  <a:xfrm>
                    <a:off x="0" y="0"/>
                    <a:ext cx="1572768" cy="417736"/>
                  </a:xfrm>
                  <a:prstGeom prst="rect"/>
                </pic:spPr>
              </pic:pic>
            </a:graphicData>
          </a:graphic>
        </wp:inline>
      </w:drawing>
    </w:r>
    <w:r>
      <w:rPr>
        <w:rFonts w:ascii="Aptos" w:hAnsi="Aptos"/>
        <w:b/>
        <w:color w:val="5F6B76"/>
        <w:sz w:val="16"/>
      </w:rPr>
      <w:t xml:space="preserve">    LECTURER MEMBERSHIP</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10">
    <w:multiLevelType w:val="singleLevel"/>
    <w:lvl w:ilvl="0">
      <w:start w:val="1"/>
      <w:numFmt w:val="bullet"/>
      <w:lvlText w:val="•"/>
      <w:suff w:val="tab"/>
      <w:pPr>
        <w:tabs>
          <w:tab w:val="num" w:pos="540"/>
        </w:tabs>
        <w:ind w:left="540" w:hanging="270"/>
        <w:spacing w:after="80" w:line="283" w:lineRule="auto"/>
      </w:pPr>
    </w:lvl>
  </w:abstractNum>
  <w:num w:numId="10">
    <w:abstractNumId w:val="10"/>
  </w:num>
  <w:abstractNum w:abstractNumId="11">
    <w:multiLevelType w:val="singleLevel"/>
    <w:lvl w:ilvl="0">
      <w:start w:val="1"/>
      <w:numFmt w:val="bullet"/>
      <w:lvlText w:val="–"/>
      <w:suff w:val="tab"/>
      <w:pPr>
        <w:tabs>
          <w:tab w:val="num" w:pos="900"/>
        </w:tabs>
        <w:ind w:left="900" w:hanging="270"/>
        <w:spacing w:after="80" w:line="283" w:lineRule="auto"/>
      </w:pPr>
    </w:lvl>
  </w:abstractNum>
  <w:num w:numId="11">
    <w:abstractNumId w:val="11"/>
  </w:num>
  <w:abstractNum w:abstractNumId="12">
    <w:multiLevelType w:val="singleLevel"/>
    <w:lvl w:ilvl="0">
      <w:start w:val="1"/>
      <w:numFmt w:val="decimal"/>
      <w:lvlText w:val="%1."/>
      <w:suff w:val="tab"/>
      <w:pPr>
        <w:tabs>
          <w:tab w:val="num" w:pos="540"/>
        </w:tabs>
        <w:ind w:left="540" w:hanging="270"/>
        <w:spacing w:after="80" w:line="283" w:lineRule="auto"/>
      </w:pPr>
    </w:lvl>
  </w:abstractNum>
  <w:num w:numId="12">
    <w:abstractNumId w:val="12"/>
  </w:num>
  <w:num w:numId="13">
    <w:abstractNumId w:val="12"/>
    <w:lvlOverride w:ilvl="0">
      <w:startOverride w:val="1"/>
    </w:lvlOverride>
  </w:num>
  <w:num w:numId="14">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pPr>
    <w:rPr>
      <w:rFonts w:ascii="Aptos" w:hAnsi="Aptos"/>
      <w:color w:val="1F29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ptos Display" w:hAnsi="Aptos Display"/>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Display" w:hAnsi="Aptos Display"/>
      <w:b/>
      <w:bCs/>
      <w:color w:val="1B7F86"/>
      <w:sz w:val="26"/>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ptos Display" w:hAnsi="Aptos Display"/>
      <w:b/>
      <w:bCs/>
      <w:color w:val="17365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BBullet">
    <w:name w:val="RB Bullet"/>
    <w:basedOn w:val="Normal"/>
    <w:pPr>
      <w:spacing w:after="70" w:line="269" w:lineRule="auto"/>
      <w:ind w:left="540" w:hanging="270"/>
      <w:numPr>
        <w:ilvl w:val="0"/>
        <w:numId w:val="10"/>
      </w:numPr>
    </w:pPr>
  </w:style>
  <w:style w:type="paragraph" w:customStyle="1" w:styleId="RBBullet2">
    <w:name w:val="RB Bullet 2"/>
    <w:basedOn w:val="Normal"/>
    <w:pPr>
      <w:spacing w:after="70" w:line="269" w:lineRule="auto"/>
      <w:ind w:left="900" w:hanging="270"/>
      <w:numPr>
        <w:ilvl w:val="0"/>
        <w:numId w:val="11"/>
      </w:numPr>
    </w:pPr>
  </w:style>
  <w:style w:type="paragraph" w:customStyle="1" w:styleId="RBNumber">
    <w:name w:val="RB Number"/>
    <w:basedOn w:val="Normal"/>
    <w:pPr>
      <w:spacing w:after="70" w:line="269" w:lineRule="auto"/>
      <w:ind w:left="540" w:hanging="270"/>
      <w:numPr>
        <w:ilvl w:val="0"/>
        <w:numId w:val="12"/>
      </w:numPr>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ResearchBridge Africa Lecturer Invitation and Membership Pack</dc:title>
  <dc:subject>Invitation, membership framework, application, code of conduct and onboarding</dc:subject>
  <dc:creator>Alexander Amoah, PhD</dc:creator>
  <cp:keywords>ResearchBridge Africa, lecturer membership, research mentorship, academic integrity</cp:keywords>
  <dc:description>Master editable template, July 2026</dc:description>
  <cp:lastModifiedBy/>
  <cp:revision>1</cp:revision>
  <dcterms:created xsi:type="dcterms:W3CDTF">2013-12-23T23:15:00Z</dcterms:created>
  <dcterms:modified xsi:type="dcterms:W3CDTF">2013-12-23T23:15:00Z</dcterms:modified>
  <cp:category/>
</cp:coreProperties>
</file>