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after="1100"/>
      </w:pPr>
    </w:p>
    <w:p>
      <w:pPr>
        <w:pStyle w:val="CoverKicker"/>
        <w:widowControl/>
        <w:spacing w:after="280"/>
        <w:jc w:val="center"/>
      </w:pPr>
      <w:r>
        <w:rPr>
          <w:i w:val="0"/>
        </w:rPr>
        <w:t>CONCEPT PAPER</w:t>
      </w:r>
    </w:p>
    <w:p>
      <w:pPr>
        <w:pStyle w:val="CoverTitle"/>
        <w:widowControl/>
        <w:spacing w:after="160"/>
        <w:jc w:val="center"/>
      </w:pPr>
      <w:r>
        <w:rPr>
          <w:i w:val="0"/>
        </w:rPr>
        <w:t>ResearchBridge Africa</w:t>
      </w:r>
    </w:p>
    <w:p>
      <w:pPr>
        <w:pStyle w:val="CoverSubtitle"/>
        <w:widowControl/>
        <w:spacing w:after="480"/>
        <w:jc w:val="center"/>
      </w:pPr>
      <w:r>
        <w:rPr>
          <w:i w:val="0"/>
        </w:rPr>
        <w:t>An Integrated Research-Development, Mentorship,</w:t>
        <w:br/>
        <w:t>Peer-Review and Publication Ecosystem</w:t>
      </w:r>
    </w:p>
    <w:tbl>
      <w:tblPr>
        <w:tblW w:type="auto" w:w="0"/>
        <w:jc w:val="center"/>
        <w:tblLayout w:type="fixed"/>
        <w:tblLook w:firstColumn="1" w:firstRow="1" w:lastColumn="0" w:lastRow="0" w:noHBand="0" w:noVBand="1" w:val="04A0"/>
        <w:tblBorders>
          <w:top w:val="single" w:sz="2" w:color="EAF4F4"/>
          <w:left w:val="single" w:sz="2" w:color="EAF4F4"/>
          <w:bottom w:val="single" w:sz="2" w:color="EAF4F4"/>
          <w:right w:val="single" w:sz="2" w:color="EAF4F4"/>
          <w:insideH w:val="single" w:sz="2" w:color="EAF4F4"/>
          <w:insideV w:val="single" w:sz="2" w:color="EAF4F4"/>
        </w:tblBorders>
      </w:tblPr>
      <w:tblGrid>
        <w:gridCol w:w="9432"/>
      </w:tblGrid>
      <w:tr>
        <w:tc>
          <w:tcPr>
            <w:tcW w:type="dxa" w:w="9432"/>
            <w:vAlign w:val="center"/>
            <w:shd w:fill="EAF4F4"/>
            <w:tcMar>
              <w:top w:w="150" w:type="dxa"/>
              <w:start w:w="190" w:type="dxa"/>
              <w:bottom w:w="150" w:type="dxa"/>
              <w:end w:w="190" w:type="dxa"/>
            </w:tcMar>
          </w:tcPr>
          <w:p>
            <w:pPr>
              <w:spacing w:after="0"/>
            </w:pPr>
            <w:r>
              <w:rPr>
                <w:b/>
                <w:color w:val="17365D"/>
              </w:rPr>
              <w:t xml:space="preserve">Positioning statement: </w:t>
            </w:r>
            <w:r>
              <w:t>ResearchBridge Africa guides students and emerging scholars from a research idea to credible, visible and socially relevant research impact.</w:t>
            </w:r>
          </w:p>
        </w:tc>
      </w:tr>
    </w:tbl>
    <w:p>
      <w:pPr>
        <w:widowControl/>
        <w:spacing w:after="0"/>
      </w:pPr>
    </w:p>
    <w:p>
      <w:pPr>
        <w:widowControl/>
        <w:spacing w:after="960"/>
      </w:pPr>
    </w:p>
    <w:p>
      <w:pPr>
        <w:pStyle w:val="SmallMetadata"/>
        <w:widowControl/>
        <w:spacing w:after="160"/>
        <w:jc w:val="center"/>
      </w:pPr>
      <w:r>
        <w:rPr>
          <w:i w:val="0"/>
        </w:rPr>
        <w:t>Prepared for institutional engagement, lecturer participation and reviewer membership</w:t>
      </w:r>
    </w:p>
    <w:p>
      <w:pPr>
        <w:pStyle w:val="SmallMetadata"/>
        <w:widowControl/>
        <w:spacing w:after="60"/>
        <w:jc w:val="center"/>
      </w:pPr>
      <w:r>
        <w:rPr>
          <w:i w:val="0"/>
        </w:rPr>
        <w:t>Prepared by Alexander Amoah, PhD</w:t>
      </w:r>
    </w:p>
    <w:p>
      <w:pPr>
        <w:pStyle w:val="SmallMetadata"/>
        <w:widowControl/>
        <w:jc w:val="center"/>
      </w:pPr>
      <w:r>
        <w:rPr>
          <w:i w:val="0"/>
        </w:rPr>
        <w:t>ResearchBridge Africa  •  Ghana  •  July 2026</w:t>
      </w:r>
    </w:p>
    <w:p>
      <w:pPr>
        <w:widowControl/>
      </w:pPr>
      <w:r>
        <w:br w:type="page"/>
      </w:r>
    </w:p>
    <w:p>
      <w:pPr>
        <w:pStyle w:val="Heading1"/>
        <w:keepNext/>
        <w:widowControl/>
      </w:pPr>
      <w:r>
        <w:t>Executive Summary</w:t>
      </w:r>
    </w:p>
    <w:p>
      <w:pPr>
        <w:widowControl/>
      </w:pPr>
      <w:r>
        <w:rPr>
          <w:i w:val="0"/>
        </w:rPr>
        <w:t>Across Africa, many students and emerging researchers encounter a fragmented research journey. They learn research methods in the classroom, develop topics with uneven guidance, seek technical support from disconnected providers, submit work through unfamiliar editorial systems, and often leave completed studies in departmental archives with little public visibility or societal use.</w:t>
      </w:r>
    </w:p>
    <w:p>
      <w:pPr>
        <w:widowControl/>
      </w:pPr>
      <w:r>
        <w:rPr>
          <w:i w:val="0"/>
        </w:rPr>
        <w:t>ResearchBridge Africa is conceived as a secure, integrated digital ecosystem that connects these separate stages. It combines topic development, research-methods learning, lecturer consultation, ethical technical support, manuscript submission, developmental peer review, revision, publication, repository visibility, institutional oversight and research dissemination within one coordinated platform.</w:t>
      </w:r>
    </w:p>
    <w:tbl>
      <w:tblPr>
        <w:tblW w:type="auto" w:w="0"/>
        <w:jc w:val="center"/>
        <w:tblLayout w:type="fixed"/>
        <w:tblLook w:firstColumn="1" w:firstRow="1" w:lastColumn="0" w:lastRow="0" w:noHBand="0" w:noVBand="1" w:val="04A0"/>
        <w:tblBorders>
          <w:top w:val="single" w:sz="2" w:color="EAF2F8"/>
          <w:left w:val="single" w:sz="2" w:color="EAF2F8"/>
          <w:bottom w:val="single" w:sz="2" w:color="EAF2F8"/>
          <w:right w:val="single" w:sz="2" w:color="EAF2F8"/>
          <w:insideH w:val="single" w:sz="2" w:color="EAF2F8"/>
          <w:insideV w:val="single" w:sz="2" w:color="EAF2F8"/>
        </w:tblBorders>
      </w:tblPr>
      <w:tblGrid>
        <w:gridCol w:w="9432"/>
      </w:tblGrid>
      <w:tr>
        <w:tc>
          <w:tcPr>
            <w:tcW w:type="dxa" w:w="9432"/>
            <w:vAlign w:val="center"/>
            <w:shd w:fill="EAF2F8"/>
            <w:tcMar>
              <w:top w:w="150" w:type="dxa"/>
              <w:start w:w="190" w:type="dxa"/>
              <w:bottom w:w="150" w:type="dxa"/>
              <w:end w:w="190" w:type="dxa"/>
            </w:tcMar>
          </w:tcPr>
          <w:p>
            <w:pPr>
              <w:spacing w:after="0"/>
            </w:pPr>
            <w:r>
              <w:rPr>
                <w:b/>
                <w:color w:val="17365D"/>
              </w:rPr>
              <w:t xml:space="preserve">Core distinction: </w:t>
            </w:r>
            <w:r>
              <w:t>ResearchGate and Academia.edu largely support the sharing and discovery of completed work; journals primarily assess completed manuscripts. ResearchBridge Africa begins earlier and supports the complete journey from an undeveloped idea to published impact.</w:t>
            </w:r>
          </w:p>
        </w:tc>
      </w:tr>
    </w:tbl>
    <w:p>
      <w:pPr>
        <w:widowControl/>
        <w:spacing w:after="0"/>
      </w:pPr>
    </w:p>
    <w:p>
      <w:pPr>
        <w:widowControl/>
      </w:pPr>
      <w:r>
        <w:rPr>
          <w:i w:val="0"/>
        </w:rPr>
        <w:t>The platform is particularly designed for students, early-career scholars, lecturers, reviewers and African institutions. It does not seek to replace universities, supervisors, repositories or established journals. Rather, it provides the developmental bridge that helps users produce stronger research, participate confidently in peer review, preserve credible outputs and connect local knowledge to wider audiences.</w:t>
      </w:r>
    </w:p>
    <w:p>
      <w:pPr>
        <w:widowControl/>
      </w:pPr>
      <w:r>
        <w:rPr>
          <w:i w:val="0"/>
        </w:rPr>
        <w:t>This concept paper presents the rationale, model, objectives, services, stakeholders, governance, quality safeguards, partnership arrangements, sustainability approach, implementation pathway and anticipated impact of ResearchBridge Africa. It also invites institutions, lecturers and qualified peer reviewers to participate in controlled pilots and subsequent expansion.</w:t>
      </w:r>
    </w:p>
    <w:p>
      <w:pPr>
        <w:pStyle w:val="Heading1"/>
        <w:keepNext/>
        <w:widowControl/>
      </w:pPr>
      <w:r>
        <w:t>1. Background and Rationale</w:t>
      </w:r>
    </w:p>
    <w:p>
      <w:pPr>
        <w:widowControl/>
      </w:pPr>
      <w:r>
        <w:rPr>
          <w:i w:val="0"/>
        </w:rPr>
        <w:t>Research is central to higher education, innovation, public policy and social transformation. Yet the capacity to conduct and communicate credible research is not developed through a single course or supervisory encounter. It requires repeated practice, timely feedback, access to methodological support, ethical guidance, peer engagement and opportunities for dissemination.</w:t>
      </w:r>
    </w:p>
    <w:p>
      <w:pPr>
        <w:widowControl/>
      </w:pPr>
      <w:r>
        <w:rPr>
          <w:i w:val="0"/>
        </w:rPr>
        <w:t>For many learners, these supports are dispersed. Topic formulation may occur in isolation; lecturer feedback may be constrained by workload; technical services may be difficult to verify; manuscript review may feel punitive rather than developmental; and valuable undergraduate and locally focused research may remain inaccessible after assessment. Institutions, meanwhile, may lack a consolidated view of affiliated research activity, learning participation and approved publications.</w:t>
      </w:r>
    </w:p>
    <w:p>
      <w:pPr>
        <w:widowControl/>
      </w:pPr>
      <w:r>
        <w:rPr>
          <w:i w:val="0"/>
        </w:rPr>
        <w:t>Digital research networks and journals solve important parts of this problem, but they usually meet the researcher after substantial work has already been completed. A clear need therefore exists for an integrated, ethically governed environment that supports the formation of both the research product and the researcher.</w:t>
      </w:r>
    </w:p>
    <w:p>
      <w:pPr>
        <w:pStyle w:val="Heading1"/>
        <w:keepNext/>
        <w:widowControl/>
      </w:pPr>
      <w:r>
        <w:t>2. The Problem</w:t>
      </w:r>
    </w:p>
    <w:p>
      <w:pPr>
        <w:widowControl/>
      </w:pPr>
      <w:r>
        <w:rPr>
          <w:i w:val="0"/>
        </w:rPr>
        <w:t>ResearchBridge Africa responds to six connected challenges:</w:t>
      </w:r>
    </w:p>
    <w:p>
      <w:pPr>
        <w:pStyle w:val="ListBullet"/>
        <w:widowControl/>
        <w:spacing w:after="80"/>
        <w:ind w:left="360" w:hanging="230"/>
      </w:pPr>
      <w:r>
        <w:t>Difficulty translating broad interests into clear, feasible and researchable topics.</w:t>
      </w:r>
    </w:p>
    <w:p>
      <w:pPr>
        <w:pStyle w:val="ListBullet"/>
        <w:widowControl/>
        <w:spacing w:after="80"/>
        <w:ind w:left="360" w:hanging="230"/>
      </w:pPr>
      <w:r>
        <w:t>Uneven access to lecturers, mentors, qualified reviewers and practical research-methods guidance.</w:t>
      </w:r>
    </w:p>
    <w:p>
      <w:pPr>
        <w:pStyle w:val="ListBullet"/>
        <w:widowControl/>
        <w:spacing w:after="80"/>
        <w:ind w:left="360" w:hanging="230"/>
      </w:pPr>
      <w:r>
        <w:t>Fragmented access to legitimate editing, methodology and data-analysis support.</w:t>
      </w:r>
    </w:p>
    <w:p>
      <w:pPr>
        <w:pStyle w:val="ListBullet"/>
        <w:widowControl/>
        <w:spacing w:after="80"/>
        <w:ind w:left="360" w:hanging="230"/>
      </w:pPr>
      <w:r>
        <w:t>Limited preparation for formal submission, peer review, revision and publication processes.</w:t>
      </w:r>
    </w:p>
    <w:p>
      <w:pPr>
        <w:pStyle w:val="ListBullet"/>
        <w:widowControl/>
        <w:spacing w:after="80"/>
        <w:ind w:left="360" w:hanging="230"/>
      </w:pPr>
      <w:r>
        <w:t>Low visibility and poor preservation of student, institutional and locally relevant research.</w:t>
      </w:r>
    </w:p>
    <w:p>
      <w:pPr>
        <w:pStyle w:val="ListBullet"/>
        <w:widowControl/>
        <w:spacing w:after="80"/>
        <w:ind w:left="360" w:hanging="230"/>
      </w:pPr>
      <w:r>
        <w:t>Limited institutional tools for verifying affiliations, observing aggregate activity and showcasing approved outputs.</w:t>
      </w:r>
    </w:p>
    <w:p>
      <w:pPr>
        <w:pStyle w:val="Heading1"/>
        <w:keepNext/>
        <w:widowControl/>
      </w:pPr>
      <w:r>
        <w:t>3. The ResearchBridge Africa Concept</w:t>
      </w:r>
    </w:p>
    <w:p>
      <w:pPr>
        <w:widowControl/>
      </w:pPr>
      <w:r>
        <w:rPr>
          <w:i w:val="0"/>
        </w:rPr>
        <w:t>ResearchBridge Africa is a digital research-development and publication ecosystem organised around a continuous idea-to-impact pathway. A user may enter with only a broad interest, an imperfect topic or a completed manuscript. The platform then provides the appropriate pathway, safeguards and human support for the user's stage.</w:t>
      </w:r>
    </w:p>
    <w:tbl>
      <w:tblPr>
        <w:tblW w:type="auto" w:w="0"/>
        <w:jc w:val="center"/>
        <w:tblLayout w:type="fixed"/>
        <w:tblLook w:firstColumn="1" w:firstRow="1" w:lastColumn="0" w:lastRow="0" w:noHBand="0" w:noVBand="1" w:val="04A0"/>
        <w:tblBorders>
          <w:top w:val="single" w:sz="6" w:color="D6DEE5"/>
          <w:left w:val="single" w:sz="6" w:color="D6DEE5"/>
          <w:bottom w:val="single" w:sz="6" w:color="D6DEE5"/>
          <w:right w:val="single" w:sz="6" w:color="D6DEE5"/>
          <w:insideH w:val="single" w:sz="6" w:color="D6DEE5"/>
          <w:insideV w:val="single" w:sz="6" w:color="D6DEE5"/>
        </w:tblBorders>
      </w:tblPr>
      <w:tblGrid>
        <w:gridCol w:w="3216"/>
        <w:gridCol w:w="3216"/>
        <w:gridCol w:w="3216"/>
      </w:tblGrid>
      <w:tr>
        <w:trPr>
          <w:tblHeader w:val="true"/>
        </w:trPr>
        <w:tc>
          <w:tcPr>
            <w:tcW w:type="dxa" w:w="1152"/>
            <w:shd w:fill="17365D"/>
            <w:tcMar>
              <w:top w:w="100" w:type="dxa"/>
              <w:start w:w="140" w:type="dxa"/>
              <w:bottom w:w="100" w:type="dxa"/>
              <w:end w:w="140" w:type="dxa"/>
            </w:tcMar>
            <w:vAlign w:val="center"/>
          </w:tcPr>
          <w:p>
            <w:pPr>
              <w:spacing w:after="0"/>
            </w:pPr>
            <w:r>
              <w:rPr>
                <w:b/>
                <w:color w:val="FFFFFF"/>
                <w:sz w:val="19"/>
              </w:rPr>
              <w:t>Stage</w:t>
            </w:r>
          </w:p>
        </w:tc>
        <w:tc>
          <w:tcPr>
            <w:tcW w:type="dxa" w:w="5328"/>
            <w:shd w:fill="17365D"/>
            <w:tcMar>
              <w:top w:w="100" w:type="dxa"/>
              <w:start w:w="140" w:type="dxa"/>
              <w:bottom w:w="100" w:type="dxa"/>
              <w:end w:w="140" w:type="dxa"/>
            </w:tcMar>
            <w:vAlign w:val="center"/>
          </w:tcPr>
          <w:p>
            <w:pPr>
              <w:spacing w:after="0"/>
            </w:pPr>
            <w:r>
              <w:rPr>
                <w:b/>
                <w:color w:val="FFFFFF"/>
                <w:sz w:val="19"/>
              </w:rPr>
              <w:t>Platform response</w:t>
            </w:r>
          </w:p>
        </w:tc>
        <w:tc>
          <w:tcPr>
            <w:tcW w:type="dxa" w:w="2952"/>
            <w:shd w:fill="17365D"/>
            <w:tcMar>
              <w:top w:w="100" w:type="dxa"/>
              <w:start w:w="140" w:type="dxa"/>
              <w:bottom w:w="100" w:type="dxa"/>
              <w:end w:w="140" w:type="dxa"/>
            </w:tcMar>
            <w:vAlign w:val="center"/>
          </w:tcPr>
          <w:p>
            <w:pPr>
              <w:spacing w:after="0"/>
            </w:pPr>
            <w:r>
              <w:rPr>
                <w:b/>
                <w:color w:val="FFFFFF"/>
                <w:sz w:val="19"/>
              </w:rPr>
              <w:t>Primary outcome</w:t>
            </w:r>
          </w:p>
        </w:tc>
      </w:tr>
      <w:tr>
        <w:tc>
          <w:tcPr>
            <w:tcW w:type="dxa" w:w="1152"/>
            <w:tcMar>
              <w:top w:w="100" w:type="dxa"/>
              <w:start w:w="140" w:type="dxa"/>
              <w:bottom w:w="100" w:type="dxa"/>
              <w:end w:w="140" w:type="dxa"/>
            </w:tcMar>
            <w:vAlign w:val="center"/>
          </w:tcPr>
          <w:p>
            <w:pPr>
              <w:spacing w:after="0"/>
            </w:pPr>
            <w:r>
              <w:rPr>
                <w:sz w:val="19"/>
              </w:rPr>
              <w:t>Learn</w:t>
            </w:r>
          </w:p>
        </w:tc>
        <w:tc>
          <w:tcPr>
            <w:tcW w:type="dxa" w:w="5328"/>
            <w:tcMar>
              <w:top w:w="100" w:type="dxa"/>
              <w:start w:w="140" w:type="dxa"/>
              <w:bottom w:w="100" w:type="dxa"/>
              <w:end w:w="140" w:type="dxa"/>
            </w:tcMar>
            <w:vAlign w:val="center"/>
          </w:tcPr>
          <w:p>
            <w:pPr>
              <w:spacing w:after="0"/>
            </w:pPr>
            <w:r>
              <w:rPr>
                <w:sz w:val="19"/>
              </w:rPr>
              <w:t>Research-methods lessons, tutorials, quizzes and progress tracking</w:t>
            </w:r>
          </w:p>
        </w:tc>
        <w:tc>
          <w:tcPr>
            <w:tcW w:type="dxa" w:w="2952"/>
            <w:tcMar>
              <w:top w:w="100" w:type="dxa"/>
              <w:start w:w="140" w:type="dxa"/>
              <w:bottom w:w="100" w:type="dxa"/>
              <w:end w:w="140" w:type="dxa"/>
            </w:tcMar>
            <w:vAlign w:val="center"/>
          </w:tcPr>
          <w:p>
            <w:pPr>
              <w:spacing w:after="0"/>
            </w:pPr>
            <w:r>
              <w:rPr>
                <w:sz w:val="19"/>
              </w:rPr>
              <w:t>Improved practical competence</w:t>
            </w:r>
          </w:p>
        </w:tc>
      </w:tr>
      <w:tr>
        <w:tc>
          <w:tcPr>
            <w:tcW w:type="dxa" w:w="1152"/>
            <w:tcMar>
              <w:top w:w="100" w:type="dxa"/>
              <w:start w:w="140" w:type="dxa"/>
              <w:bottom w:w="100" w:type="dxa"/>
              <w:end w:w="140" w:type="dxa"/>
            </w:tcMar>
            <w:vAlign w:val="center"/>
            <w:shd w:fill="F3F7FA"/>
          </w:tcPr>
          <w:p>
            <w:pPr>
              <w:spacing w:after="0"/>
            </w:pPr>
            <w:r>
              <w:rPr>
                <w:sz w:val="19"/>
              </w:rPr>
              <w:t>Develop</w:t>
            </w:r>
          </w:p>
        </w:tc>
        <w:tc>
          <w:tcPr>
            <w:tcW w:type="dxa" w:w="5328"/>
            <w:tcMar>
              <w:top w:w="100" w:type="dxa"/>
              <w:start w:w="140" w:type="dxa"/>
              <w:bottom w:w="100" w:type="dxa"/>
              <w:end w:w="140" w:type="dxa"/>
            </w:tcMar>
            <w:vAlign w:val="center"/>
            <w:shd w:fill="F3F7FA"/>
          </w:tcPr>
          <w:p>
            <w:pPr>
              <w:spacing w:after="0"/>
            </w:pPr>
            <w:r>
              <w:rPr>
                <w:sz w:val="19"/>
              </w:rPr>
              <w:t>Automated topic improvement and structured topic formulation</w:t>
            </w:r>
          </w:p>
        </w:tc>
        <w:tc>
          <w:tcPr>
            <w:tcW w:type="dxa" w:w="2952"/>
            <w:tcMar>
              <w:top w:w="100" w:type="dxa"/>
              <w:start w:w="140" w:type="dxa"/>
              <w:bottom w:w="100" w:type="dxa"/>
              <w:end w:w="140" w:type="dxa"/>
            </w:tcMar>
            <w:vAlign w:val="center"/>
            <w:shd w:fill="F3F7FA"/>
          </w:tcPr>
          <w:p>
            <w:pPr>
              <w:spacing w:after="0"/>
            </w:pPr>
            <w:r>
              <w:rPr>
                <w:sz w:val="19"/>
              </w:rPr>
              <w:t>Clear, feasible research direction</w:t>
            </w:r>
          </w:p>
        </w:tc>
      </w:tr>
      <w:tr>
        <w:tc>
          <w:tcPr>
            <w:tcW w:type="dxa" w:w="1152"/>
            <w:tcMar>
              <w:top w:w="100" w:type="dxa"/>
              <w:start w:w="140" w:type="dxa"/>
              <w:bottom w:w="100" w:type="dxa"/>
              <w:end w:w="140" w:type="dxa"/>
            </w:tcMar>
            <w:vAlign w:val="center"/>
          </w:tcPr>
          <w:p>
            <w:pPr>
              <w:spacing w:after="0"/>
            </w:pPr>
            <w:r>
              <w:rPr>
                <w:sz w:val="19"/>
              </w:rPr>
              <w:t>Consult</w:t>
            </w:r>
          </w:p>
        </w:tc>
        <w:tc>
          <w:tcPr>
            <w:tcW w:type="dxa" w:w="5328"/>
            <w:tcMar>
              <w:top w:w="100" w:type="dxa"/>
              <w:start w:w="140" w:type="dxa"/>
              <w:bottom w:w="100" w:type="dxa"/>
              <w:end w:w="140" w:type="dxa"/>
            </w:tcMar>
            <w:vAlign w:val="center"/>
          </w:tcPr>
          <w:p>
            <w:pPr>
              <w:spacing w:after="0"/>
            </w:pPr>
            <w:r>
              <w:rPr>
                <w:sz w:val="19"/>
              </w:rPr>
              <w:t>Lecturer feedback and traceable topic consultation</w:t>
            </w:r>
          </w:p>
        </w:tc>
        <w:tc>
          <w:tcPr>
            <w:tcW w:type="dxa" w:w="2952"/>
            <w:tcMar>
              <w:top w:w="100" w:type="dxa"/>
              <w:start w:w="140" w:type="dxa"/>
              <w:bottom w:w="100" w:type="dxa"/>
              <w:end w:w="140" w:type="dxa"/>
            </w:tcMar>
            <w:vAlign w:val="center"/>
          </w:tcPr>
          <w:p>
            <w:pPr>
              <w:spacing w:after="0"/>
            </w:pPr>
            <w:r>
              <w:rPr>
                <w:sz w:val="19"/>
              </w:rPr>
              <w:t>Guided academic refinement</w:t>
            </w:r>
          </w:p>
        </w:tc>
      </w:tr>
      <w:tr>
        <w:tc>
          <w:tcPr>
            <w:tcW w:type="dxa" w:w="1152"/>
            <w:tcMar>
              <w:top w:w="100" w:type="dxa"/>
              <w:start w:w="140" w:type="dxa"/>
              <w:bottom w:w="100" w:type="dxa"/>
              <w:end w:w="140" w:type="dxa"/>
            </w:tcMar>
            <w:vAlign w:val="center"/>
            <w:shd w:fill="F3F7FA"/>
          </w:tcPr>
          <w:p>
            <w:pPr>
              <w:spacing w:after="0"/>
            </w:pPr>
            <w:r>
              <w:rPr>
                <w:sz w:val="19"/>
              </w:rPr>
              <w:t>Support</w:t>
            </w:r>
          </w:p>
        </w:tc>
        <w:tc>
          <w:tcPr>
            <w:tcW w:type="dxa" w:w="5328"/>
            <w:tcMar>
              <w:top w:w="100" w:type="dxa"/>
              <w:start w:w="140" w:type="dxa"/>
              <w:bottom w:w="100" w:type="dxa"/>
              <w:end w:w="140" w:type="dxa"/>
            </w:tcMar>
            <w:vAlign w:val="center"/>
            <w:shd w:fill="F3F7FA"/>
          </w:tcPr>
          <w:p>
            <w:pPr>
              <w:spacing w:after="0"/>
            </w:pPr>
            <w:r>
              <w:rPr>
                <w:sz w:val="19"/>
              </w:rPr>
              <w:t>Ethical methodology, editing and data-analysis assistance</w:t>
            </w:r>
          </w:p>
        </w:tc>
        <w:tc>
          <w:tcPr>
            <w:tcW w:type="dxa" w:w="2952"/>
            <w:tcMar>
              <w:top w:w="100" w:type="dxa"/>
              <w:start w:w="140" w:type="dxa"/>
              <w:bottom w:w="100" w:type="dxa"/>
              <w:end w:w="140" w:type="dxa"/>
            </w:tcMar>
            <w:vAlign w:val="center"/>
            <w:shd w:fill="F3F7FA"/>
          </w:tcPr>
          <w:p>
            <w:pPr>
              <w:spacing w:after="0"/>
            </w:pPr>
            <w:r>
              <w:rPr>
                <w:sz w:val="19"/>
              </w:rPr>
              <w:t>Better-quality research execution</w:t>
            </w:r>
          </w:p>
        </w:tc>
      </w:tr>
      <w:tr>
        <w:tc>
          <w:tcPr>
            <w:tcW w:type="dxa" w:w="1152"/>
            <w:tcMar>
              <w:top w:w="100" w:type="dxa"/>
              <w:start w:w="140" w:type="dxa"/>
              <w:bottom w:w="100" w:type="dxa"/>
              <w:end w:w="140" w:type="dxa"/>
            </w:tcMar>
            <w:vAlign w:val="center"/>
          </w:tcPr>
          <w:p>
            <w:pPr>
              <w:spacing w:after="0"/>
            </w:pPr>
            <w:r>
              <w:rPr>
                <w:sz w:val="19"/>
              </w:rPr>
              <w:t>Review</w:t>
            </w:r>
          </w:p>
        </w:tc>
        <w:tc>
          <w:tcPr>
            <w:tcW w:type="dxa" w:w="5328"/>
            <w:tcMar>
              <w:top w:w="100" w:type="dxa"/>
              <w:start w:w="140" w:type="dxa"/>
              <w:bottom w:w="100" w:type="dxa"/>
              <w:end w:w="140" w:type="dxa"/>
            </w:tcMar>
            <w:vAlign w:val="center"/>
          </w:tcPr>
          <w:p>
            <w:pPr>
              <w:spacing w:after="0"/>
            </w:pPr>
            <w:r>
              <w:rPr>
                <w:sz w:val="19"/>
              </w:rPr>
              <w:t>Editorial screening, reviewer assignment, reports and revision</w:t>
            </w:r>
          </w:p>
        </w:tc>
        <w:tc>
          <w:tcPr>
            <w:tcW w:type="dxa" w:w="2952"/>
            <w:tcMar>
              <w:top w:w="100" w:type="dxa"/>
              <w:start w:w="140" w:type="dxa"/>
              <w:bottom w:w="100" w:type="dxa"/>
              <w:end w:w="140" w:type="dxa"/>
            </w:tcMar>
            <w:vAlign w:val="center"/>
          </w:tcPr>
          <w:p>
            <w:pPr>
              <w:spacing w:after="0"/>
            </w:pPr>
            <w:r>
              <w:rPr>
                <w:sz w:val="19"/>
              </w:rPr>
              <w:t>Developmental quality assurance</w:t>
            </w:r>
          </w:p>
        </w:tc>
      </w:tr>
      <w:tr>
        <w:tc>
          <w:tcPr>
            <w:tcW w:type="dxa" w:w="1152"/>
            <w:tcMar>
              <w:top w:w="100" w:type="dxa"/>
              <w:start w:w="140" w:type="dxa"/>
              <w:bottom w:w="100" w:type="dxa"/>
              <w:end w:w="140" w:type="dxa"/>
            </w:tcMar>
            <w:vAlign w:val="center"/>
            <w:shd w:fill="F3F7FA"/>
          </w:tcPr>
          <w:p>
            <w:pPr>
              <w:spacing w:after="0"/>
            </w:pPr>
            <w:r>
              <w:rPr>
                <w:sz w:val="19"/>
              </w:rPr>
              <w:t>Publish</w:t>
            </w:r>
          </w:p>
        </w:tc>
        <w:tc>
          <w:tcPr>
            <w:tcW w:type="dxa" w:w="5328"/>
            <w:tcMar>
              <w:top w:w="100" w:type="dxa"/>
              <w:start w:w="140" w:type="dxa"/>
              <w:bottom w:w="100" w:type="dxa"/>
              <w:end w:w="140" w:type="dxa"/>
            </w:tcMar>
            <w:vAlign w:val="center"/>
            <w:shd w:fill="F3F7FA"/>
          </w:tcPr>
          <w:p>
            <w:pPr>
              <w:spacing w:after="0"/>
            </w:pPr>
            <w:r>
              <w:rPr>
                <w:sz w:val="19"/>
              </w:rPr>
              <w:t>Decision, repository record, citation and controlled dissemination</w:t>
            </w:r>
          </w:p>
        </w:tc>
        <w:tc>
          <w:tcPr>
            <w:tcW w:type="dxa" w:w="2952"/>
            <w:tcMar>
              <w:top w:w="100" w:type="dxa"/>
              <w:start w:w="140" w:type="dxa"/>
              <w:bottom w:w="100" w:type="dxa"/>
              <w:end w:w="140" w:type="dxa"/>
            </w:tcMar>
            <w:vAlign w:val="center"/>
            <w:shd w:fill="F3F7FA"/>
          </w:tcPr>
          <w:p>
            <w:pPr>
              <w:spacing w:after="0"/>
            </w:pPr>
            <w:r>
              <w:rPr>
                <w:sz w:val="19"/>
              </w:rPr>
              <w:t>Credible research visibility</w:t>
            </w:r>
          </w:p>
        </w:tc>
      </w:tr>
      <w:tr>
        <w:tc>
          <w:tcPr>
            <w:tcW w:type="dxa" w:w="1152"/>
            <w:tcMar>
              <w:top w:w="100" w:type="dxa"/>
              <w:start w:w="140" w:type="dxa"/>
              <w:bottom w:w="100" w:type="dxa"/>
              <w:end w:w="140" w:type="dxa"/>
            </w:tcMar>
            <w:vAlign w:val="center"/>
          </w:tcPr>
          <w:p>
            <w:pPr>
              <w:spacing w:after="0"/>
            </w:pPr>
            <w:r>
              <w:rPr>
                <w:sz w:val="19"/>
              </w:rPr>
              <w:t>Impact</w:t>
            </w:r>
          </w:p>
        </w:tc>
        <w:tc>
          <w:tcPr>
            <w:tcW w:type="dxa" w:w="5328"/>
            <w:tcMar>
              <w:top w:w="100" w:type="dxa"/>
              <w:start w:w="140" w:type="dxa"/>
              <w:bottom w:w="100" w:type="dxa"/>
              <w:end w:w="140" w:type="dxa"/>
            </w:tcMar>
            <w:vAlign w:val="center"/>
          </w:tcPr>
          <w:p>
            <w:pPr>
              <w:spacing w:after="0"/>
            </w:pPr>
            <w:r>
              <w:rPr>
                <w:sz w:val="19"/>
              </w:rPr>
              <w:t>Institutional reporting, social sharing and public access where authorised</w:t>
            </w:r>
          </w:p>
        </w:tc>
        <w:tc>
          <w:tcPr>
            <w:tcW w:type="dxa" w:w="2952"/>
            <w:tcMar>
              <w:top w:w="100" w:type="dxa"/>
              <w:start w:w="140" w:type="dxa"/>
              <w:bottom w:w="100" w:type="dxa"/>
              <w:end w:w="140" w:type="dxa"/>
            </w:tcMar>
            <w:vAlign w:val="center"/>
          </w:tcPr>
          <w:p>
            <w:pPr>
              <w:spacing w:after="0"/>
            </w:pPr>
            <w:r>
              <w:rPr>
                <w:sz w:val="19"/>
              </w:rPr>
              <w:t>Research connected to users and society</w:t>
            </w:r>
          </w:p>
        </w:tc>
      </w:tr>
    </w:tbl>
    <w:p>
      <w:pPr>
        <w:widowControl/>
        <w:spacing w:after="0"/>
      </w:pPr>
    </w:p>
    <w:p>
      <w:pPr>
        <w:pStyle w:val="Heading1"/>
        <w:keepNext/>
        <w:widowControl/>
      </w:pPr>
      <w:r>
        <w:t>4. Vision, Mission and Values</w:t>
      </w:r>
    </w:p>
    <w:p>
      <w:pPr>
        <w:pStyle w:val="Heading2"/>
        <w:keepNext/>
        <w:widowControl/>
      </w:pPr>
      <w:r>
        <w:t>4.1 Vision</w:t>
      </w:r>
    </w:p>
    <w:p>
      <w:pPr>
        <w:widowControl/>
      </w:pPr>
      <w:r>
        <w:rPr>
          <w:i w:val="0"/>
        </w:rPr>
        <w:t>An Africa in which every capable learner and emerging scholar can develop, improve, publish and apply credible research.</w:t>
      </w:r>
    </w:p>
    <w:p>
      <w:pPr>
        <w:pStyle w:val="Heading2"/>
        <w:keepNext/>
        <w:widowControl/>
      </w:pPr>
      <w:r>
        <w:t>4.2 Mission</w:t>
      </w:r>
    </w:p>
    <w:p>
      <w:pPr>
        <w:widowControl/>
      </w:pPr>
      <w:r>
        <w:rPr>
          <w:i w:val="0"/>
        </w:rPr>
        <w:t>To connect research learning, mentorship, ethical support, peer review, publication and institutional visibility through an accessible and quality-assured digital platform.</w:t>
      </w:r>
    </w:p>
    <w:p>
      <w:pPr>
        <w:pStyle w:val="Heading2"/>
        <w:keepNext/>
        <w:widowControl/>
      </w:pPr>
      <w:r>
        <w:t>4.3 Core Values</w:t>
      </w:r>
    </w:p>
    <w:tbl>
      <w:tblPr>
        <w:tblW w:type="auto" w:w="0"/>
        <w:jc w:val="center"/>
        <w:tblLayout w:type="fixed"/>
        <w:tblLook w:firstColumn="1" w:firstRow="1" w:lastColumn="0" w:lastRow="0" w:noHBand="0" w:noVBand="1" w:val="04A0"/>
        <w:tblBorders>
          <w:top w:val="single" w:sz="6" w:color="D6DEE5"/>
          <w:left w:val="single" w:sz="6" w:color="D6DEE5"/>
          <w:bottom w:val="single" w:sz="6" w:color="D6DEE5"/>
          <w:right w:val="single" w:sz="6" w:color="D6DEE5"/>
          <w:insideH w:val="single" w:sz="6" w:color="D6DEE5"/>
          <w:insideV w:val="single" w:sz="6" w:color="D6DEE5"/>
        </w:tblBorders>
      </w:tblPr>
      <w:tblGrid>
        <w:gridCol w:w="4824"/>
        <w:gridCol w:w="4824"/>
      </w:tblGrid>
      <w:tr>
        <w:trPr>
          <w:tblHeader w:val="true"/>
        </w:trPr>
        <w:tc>
          <w:tcPr>
            <w:tcW w:type="dxa" w:w="1944"/>
            <w:shd w:fill="17365D"/>
            <w:tcMar>
              <w:top w:w="100" w:type="dxa"/>
              <w:start w:w="140" w:type="dxa"/>
              <w:bottom w:w="100" w:type="dxa"/>
              <w:end w:w="140" w:type="dxa"/>
            </w:tcMar>
            <w:vAlign w:val="center"/>
          </w:tcPr>
          <w:p>
            <w:pPr>
              <w:spacing w:after="0"/>
            </w:pPr>
            <w:r>
              <w:rPr>
                <w:b/>
                <w:color w:val="FFFFFF"/>
                <w:sz w:val="19"/>
              </w:rPr>
              <w:t>Value</w:t>
            </w:r>
          </w:p>
        </w:tc>
        <w:tc>
          <w:tcPr>
            <w:tcW w:type="dxa" w:w="7488"/>
            <w:shd w:fill="17365D"/>
            <w:tcMar>
              <w:top w:w="100" w:type="dxa"/>
              <w:start w:w="140" w:type="dxa"/>
              <w:bottom w:w="100" w:type="dxa"/>
              <w:end w:w="140" w:type="dxa"/>
            </w:tcMar>
            <w:vAlign w:val="center"/>
          </w:tcPr>
          <w:p>
            <w:pPr>
              <w:spacing w:after="0"/>
            </w:pPr>
            <w:r>
              <w:rPr>
                <w:b/>
                <w:color w:val="FFFFFF"/>
                <w:sz w:val="19"/>
              </w:rPr>
              <w:t>Meaning in practice</w:t>
            </w:r>
          </w:p>
        </w:tc>
      </w:tr>
      <w:tr>
        <w:tc>
          <w:tcPr>
            <w:tcW w:type="dxa" w:w="1944"/>
            <w:tcMar>
              <w:top w:w="100" w:type="dxa"/>
              <w:start w:w="140" w:type="dxa"/>
              <w:bottom w:w="100" w:type="dxa"/>
              <w:end w:w="140" w:type="dxa"/>
            </w:tcMar>
            <w:vAlign w:val="center"/>
          </w:tcPr>
          <w:p>
            <w:pPr>
              <w:spacing w:after="0"/>
            </w:pPr>
            <w:r>
              <w:rPr>
                <w:sz w:val="19"/>
              </w:rPr>
              <w:t>Academic integrity</w:t>
            </w:r>
          </w:p>
        </w:tc>
        <w:tc>
          <w:tcPr>
            <w:tcW w:type="dxa" w:w="7488"/>
            <w:tcMar>
              <w:top w:w="100" w:type="dxa"/>
              <w:start w:w="140" w:type="dxa"/>
              <w:bottom w:w="100" w:type="dxa"/>
              <w:end w:w="140" w:type="dxa"/>
            </w:tcMar>
            <w:vAlign w:val="center"/>
          </w:tcPr>
          <w:p>
            <w:pPr>
              <w:spacing w:after="0"/>
            </w:pPr>
            <w:r>
              <w:rPr>
                <w:sz w:val="19"/>
              </w:rPr>
              <w:t>Support develops the researcher and improves legitimate work; it does not enable impersonation, fabrication or contract cheating.</w:t>
            </w:r>
          </w:p>
        </w:tc>
      </w:tr>
      <w:tr>
        <w:tc>
          <w:tcPr>
            <w:tcW w:type="dxa" w:w="1944"/>
            <w:tcMar>
              <w:top w:w="100" w:type="dxa"/>
              <w:start w:w="140" w:type="dxa"/>
              <w:bottom w:w="100" w:type="dxa"/>
              <w:end w:w="140" w:type="dxa"/>
            </w:tcMar>
            <w:vAlign w:val="center"/>
            <w:shd w:fill="F3F7FA"/>
          </w:tcPr>
          <w:p>
            <w:pPr>
              <w:spacing w:after="0"/>
            </w:pPr>
            <w:r>
              <w:rPr>
                <w:sz w:val="19"/>
              </w:rPr>
              <w:t>Quality</w:t>
            </w:r>
          </w:p>
        </w:tc>
        <w:tc>
          <w:tcPr>
            <w:tcW w:type="dxa" w:w="7488"/>
            <w:tcMar>
              <w:top w:w="100" w:type="dxa"/>
              <w:start w:w="140" w:type="dxa"/>
              <w:bottom w:w="100" w:type="dxa"/>
              <w:end w:w="140" w:type="dxa"/>
            </w:tcMar>
            <w:vAlign w:val="center"/>
            <w:shd w:fill="F3F7FA"/>
          </w:tcPr>
          <w:p>
            <w:pPr>
              <w:spacing w:after="0"/>
            </w:pPr>
            <w:r>
              <w:rPr>
                <w:sz w:val="19"/>
              </w:rPr>
              <w:t>Editorial and review decisions follow clear standards, documented processes and accountable roles.</w:t>
            </w:r>
          </w:p>
        </w:tc>
      </w:tr>
      <w:tr>
        <w:tc>
          <w:tcPr>
            <w:tcW w:type="dxa" w:w="1944"/>
            <w:tcMar>
              <w:top w:w="100" w:type="dxa"/>
              <w:start w:w="140" w:type="dxa"/>
              <w:bottom w:w="100" w:type="dxa"/>
              <w:end w:w="140" w:type="dxa"/>
            </w:tcMar>
            <w:vAlign w:val="center"/>
          </w:tcPr>
          <w:p>
            <w:pPr>
              <w:spacing w:after="0"/>
            </w:pPr>
            <w:r>
              <w:rPr>
                <w:sz w:val="19"/>
              </w:rPr>
              <w:t>Development</w:t>
            </w:r>
          </w:p>
        </w:tc>
        <w:tc>
          <w:tcPr>
            <w:tcW w:type="dxa" w:w="7488"/>
            <w:tcMar>
              <w:top w:w="100" w:type="dxa"/>
              <w:start w:w="140" w:type="dxa"/>
              <w:bottom w:w="100" w:type="dxa"/>
              <w:end w:w="140" w:type="dxa"/>
            </w:tcMar>
            <w:vAlign w:val="center"/>
          </w:tcPr>
          <w:p>
            <w:pPr>
              <w:spacing w:after="0"/>
            </w:pPr>
            <w:r>
              <w:rPr>
                <w:sz w:val="19"/>
              </w:rPr>
              <w:t>Feedback should help users learn, revise and grow—not merely accept or reject an output.</w:t>
            </w:r>
          </w:p>
        </w:tc>
      </w:tr>
      <w:tr>
        <w:tc>
          <w:tcPr>
            <w:tcW w:type="dxa" w:w="1944"/>
            <w:tcMar>
              <w:top w:w="100" w:type="dxa"/>
              <w:start w:w="140" w:type="dxa"/>
              <w:bottom w:w="100" w:type="dxa"/>
              <w:end w:w="140" w:type="dxa"/>
            </w:tcMar>
            <w:vAlign w:val="center"/>
            <w:shd w:fill="F3F7FA"/>
          </w:tcPr>
          <w:p>
            <w:pPr>
              <w:spacing w:after="0"/>
            </w:pPr>
            <w:r>
              <w:rPr>
                <w:sz w:val="19"/>
              </w:rPr>
              <w:t>Inclusion</w:t>
            </w:r>
          </w:p>
        </w:tc>
        <w:tc>
          <w:tcPr>
            <w:tcW w:type="dxa" w:w="7488"/>
            <w:tcMar>
              <w:top w:w="100" w:type="dxa"/>
              <w:start w:w="140" w:type="dxa"/>
              <w:bottom w:w="100" w:type="dxa"/>
              <w:end w:w="140" w:type="dxa"/>
            </w:tcMar>
            <w:vAlign w:val="center"/>
            <w:shd w:fill="F3F7FA"/>
          </w:tcPr>
          <w:p>
            <w:pPr>
              <w:spacing w:after="0"/>
            </w:pPr>
            <w:r>
              <w:rPr>
                <w:sz w:val="19"/>
              </w:rPr>
              <w:t>Students, emerging scholars, diverse disciplines and locally relevant knowledge deserve meaningful access and visibility.</w:t>
            </w:r>
          </w:p>
        </w:tc>
      </w:tr>
      <w:tr>
        <w:tc>
          <w:tcPr>
            <w:tcW w:type="dxa" w:w="1944"/>
            <w:tcMar>
              <w:top w:w="100" w:type="dxa"/>
              <w:start w:w="140" w:type="dxa"/>
              <w:bottom w:w="100" w:type="dxa"/>
              <w:end w:w="140" w:type="dxa"/>
            </w:tcMar>
            <w:vAlign w:val="center"/>
          </w:tcPr>
          <w:p>
            <w:pPr>
              <w:spacing w:after="0"/>
            </w:pPr>
            <w:r>
              <w:rPr>
                <w:sz w:val="19"/>
              </w:rPr>
              <w:t>Confidentiality</w:t>
            </w:r>
          </w:p>
        </w:tc>
        <w:tc>
          <w:tcPr>
            <w:tcW w:type="dxa" w:w="7488"/>
            <w:tcMar>
              <w:top w:w="100" w:type="dxa"/>
              <w:start w:w="140" w:type="dxa"/>
              <w:bottom w:w="100" w:type="dxa"/>
              <w:end w:w="140" w:type="dxa"/>
            </w:tcMar>
            <w:vAlign w:val="center"/>
          </w:tcPr>
          <w:p>
            <w:pPr>
              <w:spacing w:after="0"/>
            </w:pPr>
            <w:r>
              <w:rPr>
                <w:sz w:val="19"/>
              </w:rPr>
              <w:t>Private manuscripts, reviewer reports, identities, payments and support records remain protected by role and purpose.</w:t>
            </w:r>
          </w:p>
        </w:tc>
      </w:tr>
      <w:tr>
        <w:tc>
          <w:tcPr>
            <w:tcW w:type="dxa" w:w="1944"/>
            <w:tcMar>
              <w:top w:w="100" w:type="dxa"/>
              <w:start w:w="140" w:type="dxa"/>
              <w:bottom w:w="100" w:type="dxa"/>
              <w:end w:w="140" w:type="dxa"/>
            </w:tcMar>
            <w:vAlign w:val="center"/>
            <w:shd w:fill="F3F7FA"/>
          </w:tcPr>
          <w:p>
            <w:pPr>
              <w:spacing w:after="0"/>
            </w:pPr>
            <w:r>
              <w:rPr>
                <w:sz w:val="19"/>
              </w:rPr>
              <w:t>Fairness</w:t>
            </w:r>
          </w:p>
        </w:tc>
        <w:tc>
          <w:tcPr>
            <w:tcW w:type="dxa" w:w="7488"/>
            <w:tcMar>
              <w:top w:w="100" w:type="dxa"/>
              <w:start w:w="140" w:type="dxa"/>
              <w:bottom w:w="100" w:type="dxa"/>
              <w:end w:w="140" w:type="dxa"/>
            </w:tcMar>
            <w:vAlign w:val="center"/>
            <w:shd w:fill="F3F7FA"/>
          </w:tcPr>
          <w:p>
            <w:pPr>
              <w:spacing w:after="0"/>
            </w:pPr>
            <w:r>
              <w:rPr>
                <w:sz w:val="19"/>
              </w:rPr>
              <w:t>Conflicts of interest, authorship, appeals and institutional boundaries are handled transparently.</w:t>
            </w:r>
          </w:p>
        </w:tc>
      </w:tr>
      <w:tr>
        <w:tc>
          <w:tcPr>
            <w:tcW w:type="dxa" w:w="1944"/>
            <w:tcMar>
              <w:top w:w="100" w:type="dxa"/>
              <w:start w:w="140" w:type="dxa"/>
              <w:bottom w:w="100" w:type="dxa"/>
              <w:end w:w="140" w:type="dxa"/>
            </w:tcMar>
            <w:vAlign w:val="center"/>
          </w:tcPr>
          <w:p>
            <w:pPr>
              <w:spacing w:after="0"/>
            </w:pPr>
            <w:r>
              <w:rPr>
                <w:sz w:val="19"/>
              </w:rPr>
              <w:t>Social relevance</w:t>
            </w:r>
          </w:p>
        </w:tc>
        <w:tc>
          <w:tcPr>
            <w:tcW w:type="dxa" w:w="7488"/>
            <w:tcMar>
              <w:top w:w="100" w:type="dxa"/>
              <w:start w:w="140" w:type="dxa"/>
              <w:bottom w:w="100" w:type="dxa"/>
              <w:end w:w="140" w:type="dxa"/>
            </w:tcMar>
            <w:vAlign w:val="center"/>
          </w:tcPr>
          <w:p>
            <w:pPr>
              <w:spacing w:after="0"/>
            </w:pPr>
            <w:r>
              <w:rPr>
                <w:sz w:val="19"/>
              </w:rPr>
              <w:t>Research should contribute to institutions, communities, policy, professional practice and Africa's development.</w:t>
            </w:r>
          </w:p>
        </w:tc>
      </w:tr>
    </w:tbl>
    <w:p>
      <w:pPr>
        <w:widowControl/>
        <w:spacing w:after="0"/>
      </w:pPr>
    </w:p>
    <w:p>
      <w:pPr>
        <w:pStyle w:val="Heading1"/>
        <w:keepNext/>
        <w:widowControl/>
      </w:pPr>
      <w:r>
        <w:t>5. Strategic Objectives</w:t>
      </w:r>
    </w:p>
    <w:p>
      <w:pPr>
        <w:pStyle w:val="ListNumber"/>
        <w:widowControl/>
        <w:spacing w:after="100"/>
        <w:ind w:left="432" w:hanging="288"/>
      </w:pPr>
      <w:r>
        <w:t>Improve the ability of students and emerging scholars to formulate clear, feasible and contextually relevant research topics.</w:t>
      </w:r>
    </w:p>
    <w:p>
      <w:pPr>
        <w:pStyle w:val="ListNumber"/>
        <w:widowControl/>
        <w:spacing w:after="100"/>
        <w:ind w:left="432" w:hanging="288"/>
      </w:pPr>
      <w:r>
        <w:t>Connect research-methods learning with the actual production of research.</w:t>
      </w:r>
    </w:p>
    <w:p>
      <w:pPr>
        <w:pStyle w:val="ListNumber"/>
        <w:widowControl/>
        <w:spacing w:after="100"/>
        <w:ind w:left="432" w:hanging="288"/>
      </w:pPr>
      <w:r>
        <w:t>Expand access to verified lecturers, mentors, editors and peer reviewers.</w:t>
      </w:r>
    </w:p>
    <w:p>
      <w:pPr>
        <w:pStyle w:val="ListNumber"/>
        <w:widowControl/>
        <w:spacing w:after="100"/>
        <w:ind w:left="432" w:hanging="288"/>
      </w:pPr>
      <w:r>
        <w:t>Provide ethical, traceable and transparent research-support services.</w:t>
      </w:r>
    </w:p>
    <w:p>
      <w:pPr>
        <w:pStyle w:val="ListNumber"/>
        <w:widowControl/>
        <w:spacing w:after="100"/>
        <w:ind w:left="432" w:hanging="288"/>
      </w:pPr>
      <w:r>
        <w:t>Develop users' capacity to participate in editorial review, revision and scholarly communication.</w:t>
      </w:r>
    </w:p>
    <w:p>
      <w:pPr>
        <w:pStyle w:val="ListNumber"/>
        <w:widowControl/>
        <w:spacing w:after="100"/>
        <w:ind w:left="432" w:hanging="288"/>
      </w:pPr>
      <w:r>
        <w:t>Increase the preservation, discoverability and responsible dissemination of credible African research.</w:t>
      </w:r>
    </w:p>
    <w:p>
      <w:pPr>
        <w:pStyle w:val="ListNumber"/>
        <w:widowControl/>
        <w:spacing w:after="100"/>
        <w:ind w:left="432" w:hanging="288"/>
      </w:pPr>
      <w:r>
        <w:t>Enable institutions to verify members, monitor aggregate research activity and showcase approved outputs.</w:t>
      </w:r>
    </w:p>
    <w:p>
      <w:pPr>
        <w:pStyle w:val="ListNumber"/>
        <w:widowControl/>
        <w:spacing w:after="100"/>
        <w:ind w:left="432" w:hanging="288"/>
      </w:pPr>
      <w:r>
        <w:t>Build cross-institutional and interdisciplinary communities of research practice.</w:t>
      </w:r>
    </w:p>
    <w:p>
      <w:pPr>
        <w:pStyle w:val="Heading1"/>
        <w:keepNext/>
        <w:widowControl/>
      </w:pPr>
      <w:r>
        <w:t>6. Core Platform Components</w:t>
      </w:r>
    </w:p>
    <w:p>
      <w:pPr>
        <w:pStyle w:val="Heading2"/>
        <w:keepNext/>
        <w:widowControl/>
      </w:pPr>
      <w:r>
        <w:t>Topic Studio</w:t>
      </w:r>
    </w:p>
    <w:p>
      <w:pPr>
        <w:widowControl/>
      </w:pPr>
      <w:r>
        <w:rPr>
          <w:i w:val="0"/>
        </w:rPr>
        <w:t>Users type, paste or upload a proposed topic; receive automated grammatical and structural suggestions; assess concept, relationship, population, place, time and scope; and proceed to structured refinement or lecturer consultation.</w:t>
      </w:r>
    </w:p>
    <w:p>
      <w:pPr>
        <w:pStyle w:val="Heading2"/>
        <w:keepNext/>
        <w:widowControl/>
      </w:pPr>
      <w:r>
        <w:t>Learning Centre</w:t>
      </w:r>
    </w:p>
    <w:p>
      <w:pPr>
        <w:widowControl/>
      </w:pPr>
      <w:r>
        <w:rPr>
          <w:i w:val="0"/>
        </w:rPr>
        <w:t>Short courses, lessons, quizzes and progress records translate research-methods knowledge into practical research tasks.</w:t>
      </w:r>
    </w:p>
    <w:p>
      <w:pPr>
        <w:pStyle w:val="Heading2"/>
        <w:keepNext/>
        <w:widowControl/>
      </w:pPr>
      <w:r>
        <w:t>Lecturer Consultation</w:t>
      </w:r>
    </w:p>
    <w:p>
      <w:pPr>
        <w:widowControl/>
      </w:pPr>
      <w:r>
        <w:rPr>
          <w:i w:val="0"/>
        </w:rPr>
        <w:t>Students submit topics or research questions to approved lecturers, receive documented feedback and revise within a traceable academic process.</w:t>
      </w:r>
    </w:p>
    <w:p>
      <w:pPr>
        <w:pStyle w:val="Heading2"/>
        <w:keepNext/>
        <w:widowControl/>
      </w:pPr>
      <w:r>
        <w:t>Research Support Services</w:t>
      </w:r>
    </w:p>
    <w:p>
      <w:pPr>
        <w:widowControl/>
      </w:pPr>
      <w:r>
        <w:rPr>
          <w:i w:val="0"/>
        </w:rPr>
        <w:t>Users request legitimate assistance with methodology, instruments, academic editing, data analysis and related tasks. Quotations, payments, deliverables and communication are recorded.</w:t>
      </w:r>
    </w:p>
    <w:p>
      <w:pPr>
        <w:pStyle w:val="Heading2"/>
        <w:keepNext/>
        <w:widowControl/>
      </w:pPr>
      <w:r>
        <w:t>Submission and Editorial Workflow</w:t>
      </w:r>
    </w:p>
    <w:p>
      <w:pPr>
        <w:widowControl/>
      </w:pPr>
      <w:r>
        <w:rPr>
          <w:i w:val="0"/>
        </w:rPr>
        <w:t>Manuscripts progress through submission, editorial screening, reviewer assignment, peer review, revision, decision and publication. Revision uploads are controlled by editorial requests.</w:t>
      </w:r>
    </w:p>
    <w:p>
      <w:pPr>
        <w:pStyle w:val="Heading2"/>
        <w:keepNext/>
        <w:widowControl/>
      </w:pPr>
      <w:r>
        <w:t>Peer Reviewer Workspace</w:t>
      </w:r>
    </w:p>
    <w:p>
      <w:pPr>
        <w:widowControl/>
      </w:pPr>
      <w:r>
        <w:rPr>
          <w:i w:val="0"/>
        </w:rPr>
        <w:t>Verified reviewers receive assignments within their expertise, declare conflicts, access only authorised material, submit structured reports and observe deadlines.</w:t>
      </w:r>
    </w:p>
    <w:p>
      <w:pPr>
        <w:pStyle w:val="Heading2"/>
        <w:keepNext/>
        <w:widowControl/>
      </w:pPr>
      <w:r>
        <w:t>Research Repository</w:t>
      </w:r>
    </w:p>
    <w:p>
      <w:pPr>
        <w:widowControl/>
      </w:pPr>
      <w:r>
        <w:rPr>
          <w:i w:val="0"/>
        </w:rPr>
        <w:t>Approved outputs receive permanent pages, citation information, search visibility, controlled sharing and institutional association.</w:t>
      </w:r>
    </w:p>
    <w:p>
      <w:pPr>
        <w:pStyle w:val="Heading2"/>
        <w:keepNext/>
        <w:widowControl/>
      </w:pPr>
      <w:r>
        <w:t>Institutional Administrator Dashboard</w:t>
      </w:r>
    </w:p>
    <w:p>
      <w:pPr>
        <w:widowControl/>
      </w:pPr>
      <w:r>
        <w:rPr>
          <w:i w:val="0"/>
        </w:rPr>
        <w:t>Authorised institutions verify affiliations, view aggregate research and learning activity, manage invitations, access approved publications and download reports without seeing confidential editorial data.</w:t>
      </w:r>
    </w:p>
    <w:p>
      <w:pPr>
        <w:pStyle w:val="Heading2"/>
        <w:keepNext/>
        <w:widowControl/>
      </w:pPr>
      <w:r>
        <w:t>Administration, Finance and Analytics</w:t>
      </w:r>
    </w:p>
    <w:p>
      <w:pPr>
        <w:widowControl/>
      </w:pPr>
      <w:r>
        <w:rPr>
          <w:i w:val="0"/>
        </w:rPr>
        <w:t>Platform administrators manage content, users, quality, repository records, support, receipts, audit trails, notifications, reports and controlled pilots.</w:t>
      </w:r>
    </w:p>
    <w:p>
      <w:pPr>
        <w:pStyle w:val="Heading1"/>
        <w:keepNext/>
        <w:widowControl/>
      </w:pPr>
      <w:r>
        <w:t>7. Intended Users and Value Proposition</w:t>
      </w:r>
    </w:p>
    <w:tbl>
      <w:tblPr>
        <w:tblW w:type="auto" w:w="0"/>
        <w:jc w:val="center"/>
        <w:tblLayout w:type="fixed"/>
        <w:tblLook w:firstColumn="1" w:firstRow="1" w:lastColumn="0" w:lastRow="0" w:noHBand="0" w:noVBand="1" w:val="04A0"/>
        <w:tblBorders>
          <w:top w:val="single" w:sz="6" w:color="D6DEE5"/>
          <w:left w:val="single" w:sz="6" w:color="D6DEE5"/>
          <w:bottom w:val="single" w:sz="6" w:color="D6DEE5"/>
          <w:right w:val="single" w:sz="6" w:color="D6DEE5"/>
          <w:insideH w:val="single" w:sz="6" w:color="D6DEE5"/>
          <w:insideV w:val="single" w:sz="6" w:color="D6DEE5"/>
        </w:tblBorders>
      </w:tblPr>
      <w:tblGrid>
        <w:gridCol w:w="4824"/>
        <w:gridCol w:w="4824"/>
      </w:tblGrid>
      <w:tr>
        <w:trPr>
          <w:tblHeader w:val="true"/>
        </w:trPr>
        <w:tc>
          <w:tcPr>
            <w:tcW w:type="dxa" w:w="2232"/>
            <w:shd w:fill="17365D"/>
            <w:tcMar>
              <w:top w:w="100" w:type="dxa"/>
              <w:start w:w="140" w:type="dxa"/>
              <w:bottom w:w="100" w:type="dxa"/>
              <w:end w:w="140" w:type="dxa"/>
            </w:tcMar>
            <w:vAlign w:val="center"/>
          </w:tcPr>
          <w:p>
            <w:pPr>
              <w:spacing w:after="0"/>
            </w:pPr>
            <w:r>
              <w:rPr>
                <w:b/>
                <w:color w:val="FFFFFF"/>
                <w:sz w:val="19"/>
              </w:rPr>
              <w:t>Stakeholder</w:t>
            </w:r>
          </w:p>
        </w:tc>
        <w:tc>
          <w:tcPr>
            <w:tcW w:type="dxa" w:w="7200"/>
            <w:shd w:fill="17365D"/>
            <w:tcMar>
              <w:top w:w="100" w:type="dxa"/>
              <w:start w:w="140" w:type="dxa"/>
              <w:bottom w:w="100" w:type="dxa"/>
              <w:end w:w="140" w:type="dxa"/>
            </w:tcMar>
            <w:vAlign w:val="center"/>
          </w:tcPr>
          <w:p>
            <w:pPr>
              <w:spacing w:after="0"/>
            </w:pPr>
            <w:r>
              <w:rPr>
                <w:b/>
                <w:color w:val="FFFFFF"/>
                <w:sz w:val="19"/>
              </w:rPr>
              <w:t>Value offered</w:t>
            </w:r>
          </w:p>
        </w:tc>
      </w:tr>
      <w:tr>
        <w:tc>
          <w:tcPr>
            <w:tcW w:type="dxa" w:w="2232"/>
            <w:tcMar>
              <w:top w:w="100" w:type="dxa"/>
              <w:start w:w="140" w:type="dxa"/>
              <w:bottom w:w="100" w:type="dxa"/>
              <w:end w:w="140" w:type="dxa"/>
            </w:tcMar>
            <w:vAlign w:val="center"/>
          </w:tcPr>
          <w:p>
            <w:pPr>
              <w:spacing w:after="0"/>
            </w:pPr>
            <w:r>
              <w:rPr>
                <w:sz w:val="19"/>
              </w:rPr>
              <w:t>Students</w:t>
            </w:r>
          </w:p>
        </w:tc>
        <w:tc>
          <w:tcPr>
            <w:tcW w:type="dxa" w:w="7200"/>
            <w:tcMar>
              <w:top w:w="100" w:type="dxa"/>
              <w:start w:w="140" w:type="dxa"/>
              <w:bottom w:w="100" w:type="dxa"/>
              <w:end w:w="140" w:type="dxa"/>
            </w:tcMar>
            <w:vAlign w:val="center"/>
          </w:tcPr>
          <w:p>
            <w:pPr>
              <w:spacing w:after="0"/>
            </w:pPr>
            <w:r>
              <w:rPr>
                <w:sz w:val="19"/>
              </w:rPr>
              <w:t>Guided topic development, learning, consultation, ethical support, feedback, publication readiness and visibility.</w:t>
            </w:r>
          </w:p>
        </w:tc>
      </w:tr>
      <w:tr>
        <w:tc>
          <w:tcPr>
            <w:tcW w:type="dxa" w:w="2232"/>
            <w:tcMar>
              <w:top w:w="100" w:type="dxa"/>
              <w:start w:w="140" w:type="dxa"/>
              <w:bottom w:w="100" w:type="dxa"/>
              <w:end w:w="140" w:type="dxa"/>
            </w:tcMar>
            <w:vAlign w:val="center"/>
            <w:shd w:fill="F3F7FA"/>
          </w:tcPr>
          <w:p>
            <w:pPr>
              <w:spacing w:after="0"/>
            </w:pPr>
            <w:r>
              <w:rPr>
                <w:sz w:val="19"/>
              </w:rPr>
              <w:t>Emerging scholars</w:t>
            </w:r>
          </w:p>
        </w:tc>
        <w:tc>
          <w:tcPr>
            <w:tcW w:type="dxa" w:w="7200"/>
            <w:tcMar>
              <w:top w:w="100" w:type="dxa"/>
              <w:start w:w="140" w:type="dxa"/>
              <w:bottom w:w="100" w:type="dxa"/>
              <w:end w:w="140" w:type="dxa"/>
            </w:tcMar>
            <w:vAlign w:val="center"/>
            <w:shd w:fill="F3F7FA"/>
          </w:tcPr>
          <w:p>
            <w:pPr>
              <w:spacing w:after="0"/>
            </w:pPr>
            <w:r>
              <w:rPr>
                <w:sz w:val="19"/>
              </w:rPr>
              <w:t>Developmental review, multidisciplinary connections, publication pathways and a credible research profile.</w:t>
            </w:r>
          </w:p>
        </w:tc>
      </w:tr>
      <w:tr>
        <w:tc>
          <w:tcPr>
            <w:tcW w:type="dxa" w:w="2232"/>
            <w:tcMar>
              <w:top w:w="100" w:type="dxa"/>
              <w:start w:w="140" w:type="dxa"/>
              <w:bottom w:w="100" w:type="dxa"/>
              <w:end w:w="140" w:type="dxa"/>
            </w:tcMar>
            <w:vAlign w:val="center"/>
          </w:tcPr>
          <w:p>
            <w:pPr>
              <w:spacing w:after="0"/>
            </w:pPr>
            <w:r>
              <w:rPr>
                <w:sz w:val="19"/>
              </w:rPr>
              <w:t>Lecturers and mentors</w:t>
            </w:r>
          </w:p>
        </w:tc>
        <w:tc>
          <w:tcPr>
            <w:tcW w:type="dxa" w:w="7200"/>
            <w:tcMar>
              <w:top w:w="100" w:type="dxa"/>
              <w:start w:w="140" w:type="dxa"/>
              <w:bottom w:w="100" w:type="dxa"/>
              <w:end w:w="140" w:type="dxa"/>
            </w:tcMar>
            <w:vAlign w:val="center"/>
          </w:tcPr>
          <w:p>
            <w:pPr>
              <w:spacing w:after="0"/>
            </w:pPr>
            <w:r>
              <w:rPr>
                <w:sz w:val="19"/>
              </w:rPr>
              <w:t>Structured consultation, manageable workflows, teaching resources, recognition and evidence of mentorship contribution.</w:t>
            </w:r>
          </w:p>
        </w:tc>
      </w:tr>
      <w:tr>
        <w:tc>
          <w:tcPr>
            <w:tcW w:type="dxa" w:w="2232"/>
            <w:tcMar>
              <w:top w:w="100" w:type="dxa"/>
              <w:start w:w="140" w:type="dxa"/>
              <w:bottom w:w="100" w:type="dxa"/>
              <w:end w:w="140" w:type="dxa"/>
            </w:tcMar>
            <w:vAlign w:val="center"/>
            <w:shd w:fill="F3F7FA"/>
          </w:tcPr>
          <w:p>
            <w:pPr>
              <w:spacing w:after="0"/>
            </w:pPr>
            <w:r>
              <w:rPr>
                <w:sz w:val="19"/>
              </w:rPr>
              <w:t>Peer reviewers</w:t>
            </w:r>
          </w:p>
        </w:tc>
        <w:tc>
          <w:tcPr>
            <w:tcW w:type="dxa" w:w="7200"/>
            <w:tcMar>
              <w:top w:w="100" w:type="dxa"/>
              <w:start w:w="140" w:type="dxa"/>
              <w:bottom w:w="100" w:type="dxa"/>
              <w:end w:w="140" w:type="dxa"/>
            </w:tcMar>
            <w:vAlign w:val="center"/>
            <w:shd w:fill="F3F7FA"/>
          </w:tcPr>
          <w:p>
            <w:pPr>
              <w:spacing w:after="0"/>
            </w:pPr>
            <w:r>
              <w:rPr>
                <w:sz w:val="19"/>
              </w:rPr>
              <w:t>Verified assignments, expertise matching, ethical guidance, recognition and contribution to emerging scholarship.</w:t>
            </w:r>
          </w:p>
        </w:tc>
      </w:tr>
      <w:tr>
        <w:tc>
          <w:tcPr>
            <w:tcW w:type="dxa" w:w="2232"/>
            <w:tcMar>
              <w:top w:w="100" w:type="dxa"/>
              <w:start w:w="140" w:type="dxa"/>
              <w:bottom w:w="100" w:type="dxa"/>
              <w:end w:w="140" w:type="dxa"/>
            </w:tcMar>
            <w:vAlign w:val="center"/>
          </w:tcPr>
          <w:p>
            <w:pPr>
              <w:spacing w:after="0"/>
            </w:pPr>
            <w:r>
              <w:rPr>
                <w:sz w:val="19"/>
              </w:rPr>
              <w:t>Institutions</w:t>
            </w:r>
          </w:p>
        </w:tc>
        <w:tc>
          <w:tcPr>
            <w:tcW w:type="dxa" w:w="7200"/>
            <w:tcMar>
              <w:top w:w="100" w:type="dxa"/>
              <w:start w:w="140" w:type="dxa"/>
              <w:bottom w:w="100" w:type="dxa"/>
              <w:end w:w="140" w:type="dxa"/>
            </w:tcMar>
            <w:vAlign w:val="center"/>
          </w:tcPr>
          <w:p>
            <w:pPr>
              <w:spacing w:after="0"/>
            </w:pPr>
            <w:r>
              <w:rPr>
                <w:sz w:val="19"/>
              </w:rPr>
              <w:t>Affiliation verification, aggregate oversight, research visibility, repository support, learning reports and controlled participation.</w:t>
            </w:r>
          </w:p>
        </w:tc>
      </w:tr>
      <w:tr>
        <w:tc>
          <w:tcPr>
            <w:tcW w:type="dxa" w:w="2232"/>
            <w:tcMar>
              <w:top w:w="100" w:type="dxa"/>
              <w:start w:w="140" w:type="dxa"/>
              <w:bottom w:w="100" w:type="dxa"/>
              <w:end w:w="140" w:type="dxa"/>
            </w:tcMar>
            <w:vAlign w:val="center"/>
            <w:shd w:fill="F3F7FA"/>
          </w:tcPr>
          <w:p>
            <w:pPr>
              <w:spacing w:after="0"/>
            </w:pPr>
            <w:r>
              <w:rPr>
                <w:sz w:val="19"/>
              </w:rPr>
              <w:t>Editors and research professionals</w:t>
            </w:r>
          </w:p>
        </w:tc>
        <w:tc>
          <w:tcPr>
            <w:tcW w:type="dxa" w:w="7200"/>
            <w:tcMar>
              <w:top w:w="100" w:type="dxa"/>
              <w:start w:w="140" w:type="dxa"/>
              <w:bottom w:w="100" w:type="dxa"/>
              <w:end w:w="140" w:type="dxa"/>
            </w:tcMar>
            <w:vAlign w:val="center"/>
            <w:shd w:fill="F3F7FA"/>
          </w:tcPr>
          <w:p>
            <w:pPr>
              <w:spacing w:after="0"/>
            </w:pPr>
            <w:r>
              <w:rPr>
                <w:sz w:val="19"/>
              </w:rPr>
              <w:t>Consistent workflows, auditable decisions, secure communication and quality-control tools.</w:t>
            </w:r>
          </w:p>
        </w:tc>
      </w:tr>
      <w:tr>
        <w:tc>
          <w:tcPr>
            <w:tcW w:type="dxa" w:w="2232"/>
            <w:tcMar>
              <w:top w:w="100" w:type="dxa"/>
              <w:start w:w="140" w:type="dxa"/>
              <w:bottom w:w="100" w:type="dxa"/>
              <w:end w:w="140" w:type="dxa"/>
            </w:tcMar>
            <w:vAlign w:val="center"/>
          </w:tcPr>
          <w:p>
            <w:pPr>
              <w:spacing w:after="0"/>
            </w:pPr>
            <w:r>
              <w:rPr>
                <w:sz w:val="19"/>
              </w:rPr>
              <w:t>Communities and policymakers</w:t>
            </w:r>
          </w:p>
        </w:tc>
        <w:tc>
          <w:tcPr>
            <w:tcW w:type="dxa" w:w="7200"/>
            <w:tcMar>
              <w:top w:w="100" w:type="dxa"/>
              <w:start w:w="140" w:type="dxa"/>
              <w:bottom w:w="100" w:type="dxa"/>
              <w:end w:w="140" w:type="dxa"/>
            </w:tcMar>
            <w:vAlign w:val="center"/>
          </w:tcPr>
          <w:p>
            <w:pPr>
              <w:spacing w:after="0"/>
            </w:pPr>
            <w:r>
              <w:rPr>
                <w:sz w:val="19"/>
              </w:rPr>
              <w:t>Improved access to authorised, contextually relevant research and evidence.</w:t>
            </w:r>
          </w:p>
        </w:tc>
      </w:tr>
    </w:tbl>
    <w:p>
      <w:pPr>
        <w:widowControl/>
        <w:spacing w:after="0"/>
      </w:pPr>
    </w:p>
    <w:p>
      <w:pPr>
        <w:pStyle w:val="Heading1"/>
        <w:keepNext/>
        <w:widowControl/>
      </w:pPr>
      <w:r>
        <w:t>8. Distinctive Value and Strategic Positioning</w:t>
      </w:r>
    </w:p>
    <w:p>
      <w:pPr>
        <w:widowControl/>
      </w:pPr>
      <w:r>
        <w:rPr>
          <w:i w:val="0"/>
        </w:rPr>
        <w:t>ResearchBridge Africa's uniqueness lies in integration. Its primary product is not merely a document repository, social profile or journal issue; it is a guided research journey.</w:t>
      </w:r>
    </w:p>
    <w:tbl>
      <w:tblPr>
        <w:tblW w:type="auto" w:w="0"/>
        <w:jc w:val="center"/>
        <w:tblLayout w:type="fixed"/>
        <w:tblLook w:firstColumn="1" w:firstRow="1" w:lastColumn="0" w:lastRow="0" w:noHBand="0" w:noVBand="1" w:val="04A0"/>
        <w:tblBorders>
          <w:top w:val="single" w:sz="6" w:color="D6DEE5"/>
          <w:left w:val="single" w:sz="6" w:color="D6DEE5"/>
          <w:bottom w:val="single" w:sz="6" w:color="D6DEE5"/>
          <w:right w:val="single" w:sz="6" w:color="D6DEE5"/>
          <w:insideH w:val="single" w:sz="6" w:color="D6DEE5"/>
          <w:insideV w:val="single" w:sz="6" w:color="D6DEE5"/>
        </w:tblBorders>
      </w:tblPr>
      <w:tblGrid>
        <w:gridCol w:w="3216"/>
        <w:gridCol w:w="3216"/>
        <w:gridCol w:w="3216"/>
      </w:tblGrid>
      <w:tr>
        <w:trPr>
          <w:tblHeader w:val="true"/>
        </w:trPr>
        <w:tc>
          <w:tcPr>
            <w:tcW w:type="dxa" w:w="1800"/>
            <w:shd w:fill="17365D"/>
            <w:tcMar>
              <w:top w:w="100" w:type="dxa"/>
              <w:start w:w="140" w:type="dxa"/>
              <w:bottom w:w="100" w:type="dxa"/>
              <w:end w:w="140" w:type="dxa"/>
            </w:tcMar>
            <w:vAlign w:val="center"/>
          </w:tcPr>
          <w:p>
            <w:pPr>
              <w:spacing w:after="0"/>
            </w:pPr>
            <w:r>
              <w:rPr>
                <w:b/>
                <w:color w:val="FFFFFF"/>
                <w:sz w:val="19"/>
              </w:rPr>
              <w:t>Dimension</w:t>
            </w:r>
          </w:p>
        </w:tc>
        <w:tc>
          <w:tcPr>
            <w:tcW w:type="dxa" w:w="3888"/>
            <w:shd w:fill="17365D"/>
            <w:tcMar>
              <w:top w:w="100" w:type="dxa"/>
              <w:start w:w="140" w:type="dxa"/>
              <w:bottom w:w="100" w:type="dxa"/>
              <w:end w:w="140" w:type="dxa"/>
            </w:tcMar>
            <w:vAlign w:val="center"/>
          </w:tcPr>
          <w:p>
            <w:pPr>
              <w:spacing w:after="0"/>
            </w:pPr>
            <w:r>
              <w:rPr>
                <w:b/>
                <w:color w:val="FFFFFF"/>
                <w:sz w:val="19"/>
              </w:rPr>
              <w:t>ResearchBridge Africa</w:t>
            </w:r>
          </w:p>
        </w:tc>
        <w:tc>
          <w:tcPr>
            <w:tcW w:type="dxa" w:w="3744"/>
            <w:shd w:fill="17365D"/>
            <w:tcMar>
              <w:top w:w="100" w:type="dxa"/>
              <w:start w:w="140" w:type="dxa"/>
              <w:bottom w:w="100" w:type="dxa"/>
              <w:end w:w="140" w:type="dxa"/>
            </w:tcMar>
            <w:vAlign w:val="center"/>
          </w:tcPr>
          <w:p>
            <w:pPr>
              <w:spacing w:after="0"/>
            </w:pPr>
            <w:r>
              <w:rPr>
                <w:b/>
                <w:color w:val="FFFFFF"/>
                <w:sz w:val="19"/>
              </w:rPr>
              <w:t>Typical alternative</w:t>
            </w:r>
          </w:p>
        </w:tc>
      </w:tr>
      <w:tr>
        <w:tc>
          <w:tcPr>
            <w:tcW w:type="dxa" w:w="1800"/>
            <w:tcMar>
              <w:top w:w="100" w:type="dxa"/>
              <w:start w:w="140" w:type="dxa"/>
              <w:bottom w:w="100" w:type="dxa"/>
              <w:end w:w="140" w:type="dxa"/>
            </w:tcMar>
            <w:vAlign w:val="center"/>
          </w:tcPr>
          <w:p>
            <w:pPr>
              <w:spacing w:after="0"/>
            </w:pPr>
            <w:r>
              <w:rPr>
                <w:sz w:val="19"/>
              </w:rPr>
              <w:t>Entry point</w:t>
            </w:r>
          </w:p>
        </w:tc>
        <w:tc>
          <w:tcPr>
            <w:tcW w:type="dxa" w:w="3888"/>
            <w:tcMar>
              <w:top w:w="100" w:type="dxa"/>
              <w:start w:w="140" w:type="dxa"/>
              <w:bottom w:w="100" w:type="dxa"/>
              <w:end w:w="140" w:type="dxa"/>
            </w:tcMar>
            <w:vAlign w:val="center"/>
          </w:tcPr>
          <w:p>
            <w:pPr>
              <w:spacing w:after="0"/>
            </w:pPr>
            <w:r>
              <w:rPr>
                <w:sz w:val="19"/>
              </w:rPr>
              <w:t>Idea, rough topic, ongoing study or manuscript</w:t>
            </w:r>
          </w:p>
        </w:tc>
        <w:tc>
          <w:tcPr>
            <w:tcW w:type="dxa" w:w="3744"/>
            <w:tcMar>
              <w:top w:w="100" w:type="dxa"/>
              <w:start w:w="140" w:type="dxa"/>
              <w:bottom w:w="100" w:type="dxa"/>
              <w:end w:w="140" w:type="dxa"/>
            </w:tcMar>
            <w:vAlign w:val="center"/>
          </w:tcPr>
          <w:p>
            <w:pPr>
              <w:spacing w:after="0"/>
            </w:pPr>
            <w:r>
              <w:rPr>
                <w:sz w:val="19"/>
              </w:rPr>
              <w:t>Usually a completed paper or manuscript</w:t>
            </w:r>
          </w:p>
        </w:tc>
      </w:tr>
      <w:tr>
        <w:tc>
          <w:tcPr>
            <w:tcW w:type="dxa" w:w="1800"/>
            <w:tcMar>
              <w:top w:w="100" w:type="dxa"/>
              <w:start w:w="140" w:type="dxa"/>
              <w:bottom w:w="100" w:type="dxa"/>
              <w:end w:w="140" w:type="dxa"/>
            </w:tcMar>
            <w:vAlign w:val="center"/>
            <w:shd w:fill="F3F7FA"/>
          </w:tcPr>
          <w:p>
            <w:pPr>
              <w:spacing w:after="0"/>
            </w:pPr>
            <w:r>
              <w:rPr>
                <w:sz w:val="19"/>
              </w:rPr>
              <w:t>Primary orientation</w:t>
            </w:r>
          </w:p>
        </w:tc>
        <w:tc>
          <w:tcPr>
            <w:tcW w:type="dxa" w:w="3888"/>
            <w:tcMar>
              <w:top w:w="100" w:type="dxa"/>
              <w:start w:w="140" w:type="dxa"/>
              <w:bottom w:w="100" w:type="dxa"/>
              <w:end w:w="140" w:type="dxa"/>
            </w:tcMar>
            <w:vAlign w:val="center"/>
            <w:shd w:fill="F3F7FA"/>
          </w:tcPr>
          <w:p>
            <w:pPr>
              <w:spacing w:after="0"/>
            </w:pPr>
            <w:r>
              <w:rPr>
                <w:sz w:val="19"/>
              </w:rPr>
              <w:t>Researcher development plus quality publication</w:t>
            </w:r>
          </w:p>
        </w:tc>
        <w:tc>
          <w:tcPr>
            <w:tcW w:type="dxa" w:w="3744"/>
            <w:tcMar>
              <w:top w:w="100" w:type="dxa"/>
              <w:start w:w="140" w:type="dxa"/>
              <w:bottom w:w="100" w:type="dxa"/>
              <w:end w:w="140" w:type="dxa"/>
            </w:tcMar>
            <w:vAlign w:val="center"/>
            <w:shd w:fill="F3F7FA"/>
          </w:tcPr>
          <w:p>
            <w:pPr>
              <w:spacing w:after="0"/>
            </w:pPr>
            <w:r>
              <w:rPr>
                <w:sz w:val="19"/>
              </w:rPr>
              <w:t>Networking, paper sharing or journal selection</w:t>
            </w:r>
          </w:p>
        </w:tc>
      </w:tr>
      <w:tr>
        <w:tc>
          <w:tcPr>
            <w:tcW w:type="dxa" w:w="1800"/>
            <w:tcMar>
              <w:top w:w="100" w:type="dxa"/>
              <w:start w:w="140" w:type="dxa"/>
              <w:bottom w:w="100" w:type="dxa"/>
              <w:end w:w="140" w:type="dxa"/>
            </w:tcMar>
            <w:vAlign w:val="center"/>
          </w:tcPr>
          <w:p>
            <w:pPr>
              <w:spacing w:after="0"/>
            </w:pPr>
            <w:r>
              <w:rPr>
                <w:sz w:val="19"/>
              </w:rPr>
              <w:t>Learning</w:t>
            </w:r>
          </w:p>
        </w:tc>
        <w:tc>
          <w:tcPr>
            <w:tcW w:type="dxa" w:w="3888"/>
            <w:tcMar>
              <w:top w:w="100" w:type="dxa"/>
              <w:start w:w="140" w:type="dxa"/>
              <w:bottom w:w="100" w:type="dxa"/>
              <w:end w:w="140" w:type="dxa"/>
            </w:tcMar>
            <w:vAlign w:val="center"/>
          </w:tcPr>
          <w:p>
            <w:pPr>
              <w:spacing w:after="0"/>
            </w:pPr>
            <w:r>
              <w:rPr>
                <w:sz w:val="19"/>
              </w:rPr>
              <w:t>Embedded in live research tasks</w:t>
            </w:r>
          </w:p>
        </w:tc>
        <w:tc>
          <w:tcPr>
            <w:tcW w:type="dxa" w:w="3744"/>
            <w:tcMar>
              <w:top w:w="100" w:type="dxa"/>
              <w:start w:w="140" w:type="dxa"/>
              <w:bottom w:w="100" w:type="dxa"/>
              <w:end w:w="140" w:type="dxa"/>
            </w:tcMar>
            <w:vAlign w:val="center"/>
          </w:tcPr>
          <w:p>
            <w:pPr>
              <w:spacing w:after="0"/>
            </w:pPr>
            <w:r>
              <w:rPr>
                <w:sz w:val="19"/>
              </w:rPr>
              <w:t>Usually external or limited</w:t>
            </w:r>
          </w:p>
        </w:tc>
      </w:tr>
      <w:tr>
        <w:tc>
          <w:tcPr>
            <w:tcW w:type="dxa" w:w="1800"/>
            <w:tcMar>
              <w:top w:w="100" w:type="dxa"/>
              <w:start w:w="140" w:type="dxa"/>
              <w:bottom w:w="100" w:type="dxa"/>
              <w:end w:w="140" w:type="dxa"/>
            </w:tcMar>
            <w:vAlign w:val="center"/>
            <w:shd w:fill="F3F7FA"/>
          </w:tcPr>
          <w:p>
            <w:pPr>
              <w:spacing w:after="0"/>
            </w:pPr>
            <w:r>
              <w:rPr>
                <w:sz w:val="19"/>
              </w:rPr>
              <w:t>Human guidance</w:t>
            </w:r>
          </w:p>
        </w:tc>
        <w:tc>
          <w:tcPr>
            <w:tcW w:type="dxa" w:w="3888"/>
            <w:tcMar>
              <w:top w:w="100" w:type="dxa"/>
              <w:start w:w="140" w:type="dxa"/>
              <w:bottom w:w="100" w:type="dxa"/>
              <w:end w:w="140" w:type="dxa"/>
            </w:tcMar>
            <w:vAlign w:val="center"/>
            <w:shd w:fill="F3F7FA"/>
          </w:tcPr>
          <w:p>
            <w:pPr>
              <w:spacing w:after="0"/>
            </w:pPr>
            <w:r>
              <w:rPr>
                <w:sz w:val="19"/>
              </w:rPr>
              <w:t>Lecturer consultation and developmental review</w:t>
            </w:r>
          </w:p>
        </w:tc>
        <w:tc>
          <w:tcPr>
            <w:tcW w:type="dxa" w:w="3744"/>
            <w:tcMar>
              <w:top w:w="100" w:type="dxa"/>
              <w:start w:w="140" w:type="dxa"/>
              <w:bottom w:w="100" w:type="dxa"/>
              <w:end w:w="140" w:type="dxa"/>
            </w:tcMar>
            <w:vAlign w:val="center"/>
            <w:shd w:fill="F3F7FA"/>
          </w:tcPr>
          <w:p>
            <w:pPr>
              <w:spacing w:after="0"/>
            </w:pPr>
            <w:r>
              <w:rPr>
                <w:sz w:val="19"/>
              </w:rPr>
              <w:t>Informal networking or end-stage peer review</w:t>
            </w:r>
          </w:p>
        </w:tc>
      </w:tr>
      <w:tr>
        <w:tc>
          <w:tcPr>
            <w:tcW w:type="dxa" w:w="1800"/>
            <w:tcMar>
              <w:top w:w="100" w:type="dxa"/>
              <w:start w:w="140" w:type="dxa"/>
              <w:bottom w:w="100" w:type="dxa"/>
              <w:end w:w="140" w:type="dxa"/>
            </w:tcMar>
            <w:vAlign w:val="center"/>
          </w:tcPr>
          <w:p>
            <w:pPr>
              <w:spacing w:after="0"/>
            </w:pPr>
            <w:r>
              <w:rPr>
                <w:sz w:val="19"/>
              </w:rPr>
              <w:t>Institutional role</w:t>
            </w:r>
          </w:p>
        </w:tc>
        <w:tc>
          <w:tcPr>
            <w:tcW w:type="dxa" w:w="3888"/>
            <w:tcMar>
              <w:top w:w="100" w:type="dxa"/>
              <w:start w:w="140" w:type="dxa"/>
              <w:bottom w:w="100" w:type="dxa"/>
              <w:end w:w="140" w:type="dxa"/>
            </w:tcMar>
            <w:vAlign w:val="center"/>
          </w:tcPr>
          <w:p>
            <w:pPr>
              <w:spacing w:after="0"/>
            </w:pPr>
            <w:r>
              <w:rPr>
                <w:sz w:val="19"/>
              </w:rPr>
              <w:t>Verified membership, aggregate oversight and approved outputs</w:t>
            </w:r>
          </w:p>
        </w:tc>
        <w:tc>
          <w:tcPr>
            <w:tcW w:type="dxa" w:w="3744"/>
            <w:tcMar>
              <w:top w:w="100" w:type="dxa"/>
              <w:start w:w="140" w:type="dxa"/>
              <w:bottom w:w="100" w:type="dxa"/>
              <w:end w:w="140" w:type="dxa"/>
            </w:tcMar>
            <w:vAlign w:val="center"/>
          </w:tcPr>
          <w:p>
            <w:pPr>
              <w:spacing w:after="0"/>
            </w:pPr>
            <w:r>
              <w:rPr>
                <w:sz w:val="19"/>
              </w:rPr>
              <w:t>Affiliation display or journal administration</w:t>
            </w:r>
          </w:p>
        </w:tc>
      </w:tr>
      <w:tr>
        <w:tc>
          <w:tcPr>
            <w:tcW w:type="dxa" w:w="1800"/>
            <w:tcMar>
              <w:top w:w="100" w:type="dxa"/>
              <w:start w:w="140" w:type="dxa"/>
              <w:bottom w:w="100" w:type="dxa"/>
              <w:end w:w="140" w:type="dxa"/>
            </w:tcMar>
            <w:vAlign w:val="center"/>
            <w:shd w:fill="F3F7FA"/>
          </w:tcPr>
          <w:p>
            <w:pPr>
              <w:spacing w:after="0"/>
            </w:pPr>
            <w:r>
              <w:rPr>
                <w:sz w:val="19"/>
              </w:rPr>
              <w:t>African relevance</w:t>
            </w:r>
          </w:p>
        </w:tc>
        <w:tc>
          <w:tcPr>
            <w:tcW w:type="dxa" w:w="3888"/>
            <w:tcMar>
              <w:top w:w="100" w:type="dxa"/>
              <w:start w:w="140" w:type="dxa"/>
              <w:bottom w:w="100" w:type="dxa"/>
              <w:end w:w="140" w:type="dxa"/>
            </w:tcMar>
            <w:vAlign w:val="center"/>
            <w:shd w:fill="F3F7FA"/>
          </w:tcPr>
          <w:p>
            <w:pPr>
              <w:spacing w:after="0"/>
            </w:pPr>
            <w:r>
              <w:rPr>
                <w:sz w:val="19"/>
              </w:rPr>
              <w:t>Designed around local capacity, visibility and institutional needs</w:t>
            </w:r>
          </w:p>
        </w:tc>
        <w:tc>
          <w:tcPr>
            <w:tcW w:type="dxa" w:w="3744"/>
            <w:tcMar>
              <w:top w:w="100" w:type="dxa"/>
              <w:start w:w="140" w:type="dxa"/>
              <w:bottom w:w="100" w:type="dxa"/>
              <w:end w:w="140" w:type="dxa"/>
            </w:tcMar>
            <w:vAlign w:val="center"/>
            <w:shd w:fill="F3F7FA"/>
          </w:tcPr>
          <w:p>
            <w:pPr>
              <w:spacing w:after="0"/>
            </w:pPr>
            <w:r>
              <w:rPr>
                <w:sz w:val="19"/>
              </w:rPr>
              <w:t>Global general-purpose model</w:t>
            </w:r>
          </w:p>
        </w:tc>
      </w:tr>
      <w:tr>
        <w:tc>
          <w:tcPr>
            <w:tcW w:type="dxa" w:w="1800"/>
            <w:tcMar>
              <w:top w:w="100" w:type="dxa"/>
              <w:start w:w="140" w:type="dxa"/>
              <w:bottom w:w="100" w:type="dxa"/>
              <w:end w:w="140" w:type="dxa"/>
            </w:tcMar>
            <w:vAlign w:val="center"/>
          </w:tcPr>
          <w:p>
            <w:pPr>
              <w:spacing w:after="0"/>
            </w:pPr>
            <w:r>
              <w:rPr>
                <w:sz w:val="19"/>
              </w:rPr>
              <w:t>End state</w:t>
            </w:r>
          </w:p>
        </w:tc>
        <w:tc>
          <w:tcPr>
            <w:tcW w:type="dxa" w:w="3888"/>
            <w:tcMar>
              <w:top w:w="100" w:type="dxa"/>
              <w:start w:w="140" w:type="dxa"/>
              <w:bottom w:w="100" w:type="dxa"/>
              <w:end w:w="140" w:type="dxa"/>
            </w:tcMar>
            <w:vAlign w:val="center"/>
          </w:tcPr>
          <w:p>
            <w:pPr>
              <w:spacing w:after="0"/>
            </w:pPr>
            <w:r>
              <w:rPr>
                <w:sz w:val="19"/>
              </w:rPr>
              <w:t>Stronger researcher, stronger output and wider impact pathway</w:t>
            </w:r>
          </w:p>
        </w:tc>
        <w:tc>
          <w:tcPr>
            <w:tcW w:type="dxa" w:w="3744"/>
            <w:tcMar>
              <w:top w:w="100" w:type="dxa"/>
              <w:start w:w="140" w:type="dxa"/>
              <w:bottom w:w="100" w:type="dxa"/>
              <w:end w:w="140" w:type="dxa"/>
            </w:tcMar>
            <w:vAlign w:val="center"/>
          </w:tcPr>
          <w:p>
            <w:pPr>
              <w:spacing w:after="0"/>
            </w:pPr>
            <w:r>
              <w:rPr>
                <w:sz w:val="19"/>
              </w:rPr>
              <w:t>Uploaded paper, publication decision or network visibility</w:t>
            </w:r>
          </w:p>
        </w:tc>
      </w:tr>
    </w:tbl>
    <w:p>
      <w:pPr>
        <w:widowControl/>
        <w:spacing w:after="0"/>
      </w:pPr>
    </w:p>
    <w:tbl>
      <w:tblPr>
        <w:tblW w:type="auto" w:w="0"/>
        <w:jc w:val="center"/>
        <w:tblLayout w:type="fixed"/>
        <w:tblLook w:firstColumn="1" w:firstRow="1" w:lastColumn="0" w:lastRow="0" w:noHBand="0" w:noVBand="1" w:val="04A0"/>
        <w:tblBorders>
          <w:top w:val="single" w:sz="2" w:color="EAF2F8"/>
          <w:left w:val="single" w:sz="2" w:color="EAF2F8"/>
          <w:bottom w:val="single" w:sz="2" w:color="EAF2F8"/>
          <w:right w:val="single" w:sz="2" w:color="EAF2F8"/>
          <w:insideH w:val="single" w:sz="2" w:color="EAF2F8"/>
          <w:insideV w:val="single" w:sz="2" w:color="EAF2F8"/>
        </w:tblBorders>
      </w:tblPr>
      <w:tblGrid>
        <w:gridCol w:w="9432"/>
      </w:tblGrid>
      <w:tr>
        <w:tc>
          <w:tcPr>
            <w:tcW w:type="dxa" w:w="9432"/>
            <w:vAlign w:val="center"/>
            <w:shd w:fill="EAF2F8"/>
            <w:tcMar>
              <w:top w:w="150" w:type="dxa"/>
              <w:start w:w="190" w:type="dxa"/>
              <w:bottom w:w="150" w:type="dxa"/>
              <w:end w:w="190" w:type="dxa"/>
            </w:tcMar>
          </w:tcPr>
          <w:p>
            <w:pPr>
              <w:spacing w:after="0"/>
            </w:pPr>
            <w:r>
              <w:rPr>
                <w:b/>
                <w:color w:val="17365D"/>
              </w:rPr>
              <w:t xml:space="preserve">Strategic posture: </w:t>
            </w:r>
            <w:r>
              <w:t>ResearchBridge Africa should complement, rather than claim to replace, established journals, institutional repositories, ResearchGate or Academia.edu. Work developed through the platform may later be submitted, deposited or shared through those channels where policies permit.</w:t>
            </w:r>
          </w:p>
        </w:tc>
      </w:tr>
    </w:tbl>
    <w:p>
      <w:pPr>
        <w:widowControl/>
        <w:spacing w:after="0"/>
      </w:pPr>
    </w:p>
    <w:p>
      <w:pPr>
        <w:pStyle w:val="Heading1"/>
        <w:keepNext/>
        <w:widowControl/>
      </w:pPr>
      <w:r>
        <w:t>9. Academic Integrity and Quality Assurance</w:t>
      </w:r>
    </w:p>
    <w:p>
      <w:pPr>
        <w:widowControl/>
      </w:pPr>
      <w:r>
        <w:rPr>
          <w:i w:val="0"/>
        </w:rPr>
        <w:t>Trust is fundamental to the platform. ResearchBridge Africa therefore separates assistance from authorship and protects the independence of editorial and peer-review decisions.</w:t>
      </w:r>
    </w:p>
    <w:p>
      <w:pPr>
        <w:pStyle w:val="ListBullet"/>
        <w:widowControl/>
        <w:spacing w:after="80"/>
        <w:ind w:left="360" w:hanging="230"/>
      </w:pPr>
      <w:r>
        <w:t>Automated topic suggestions are advisory and remain subject to academic judgement.</w:t>
      </w:r>
    </w:p>
    <w:p>
      <w:pPr>
        <w:pStyle w:val="ListBullet"/>
        <w:widowControl/>
        <w:spacing w:after="80"/>
        <w:ind w:left="360" w:hanging="230"/>
      </w:pPr>
      <w:r>
        <w:t>Authors remain responsible for the originality, accuracy, ethics and lawful use of their work.</w:t>
      </w:r>
    </w:p>
    <w:p>
      <w:pPr>
        <w:pStyle w:val="ListBullet"/>
        <w:widowControl/>
        <w:spacing w:after="80"/>
        <w:ind w:left="360" w:hanging="230"/>
      </w:pPr>
      <w:r>
        <w:t>Support providers may explain, edit, analyse with author involvement and build capacity, but may not impersonate a student or fabricate research.</w:t>
      </w:r>
    </w:p>
    <w:p>
      <w:pPr>
        <w:pStyle w:val="ListBullet"/>
        <w:widowControl/>
        <w:spacing w:after="80"/>
        <w:ind w:left="360" w:hanging="230"/>
      </w:pPr>
      <w:r>
        <w:t>Reviewer confidentiality, conflicts of interest and appropriate expertise are required.</w:t>
      </w:r>
    </w:p>
    <w:p>
      <w:pPr>
        <w:pStyle w:val="ListBullet"/>
        <w:widowControl/>
        <w:spacing w:after="80"/>
        <w:ind w:left="360" w:hanging="230"/>
      </w:pPr>
      <w:r>
        <w:t>Editorial roles, decisions, revision requests and repository actions are logged.</w:t>
      </w:r>
    </w:p>
    <w:p>
      <w:pPr>
        <w:pStyle w:val="ListBullet"/>
        <w:widowControl/>
        <w:spacing w:after="80"/>
        <w:ind w:left="360" w:hanging="230"/>
      </w:pPr>
      <w:r>
        <w:t>Private submissions are not exposed as public repository content without an authorised publication decision.</w:t>
      </w:r>
    </w:p>
    <w:p>
      <w:pPr>
        <w:pStyle w:val="ListBullet"/>
        <w:widowControl/>
        <w:spacing w:after="80"/>
        <w:ind w:left="360" w:hanging="230"/>
      </w:pPr>
      <w:r>
        <w:t>Institutional administrators see institution-level information but not confidential manuscripts, reviewer identities, reports, payments or other institutions' records.</w:t>
      </w:r>
    </w:p>
    <w:p>
      <w:pPr>
        <w:pStyle w:val="ListBullet"/>
        <w:widowControl/>
        <w:spacing w:after="80"/>
        <w:ind w:left="360" w:hanging="230"/>
      </w:pPr>
      <w:r>
        <w:t>Complaints, corrections, withdrawal and appeal pathways are maintained.</w:t>
      </w:r>
    </w:p>
    <w:p>
      <w:pPr>
        <w:pStyle w:val="Heading1"/>
        <w:keepNext/>
        <w:widowControl/>
      </w:pPr>
      <w:r>
        <w:t>10. Governance and Role Architecture</w:t>
      </w:r>
    </w:p>
    <w:p>
      <w:pPr>
        <w:widowControl/>
      </w:pPr>
      <w:r>
        <w:rPr>
          <w:i w:val="0"/>
        </w:rPr>
        <w:t>The platform uses role-based governance so that each participant has only the access necessary for an assigned function.</w:t>
      </w:r>
    </w:p>
    <w:tbl>
      <w:tblPr>
        <w:tblW w:type="auto" w:w="0"/>
        <w:jc w:val="center"/>
        <w:tblLayout w:type="fixed"/>
        <w:tblLook w:firstColumn="1" w:firstRow="1" w:lastColumn="0" w:lastRow="0" w:noHBand="0" w:noVBand="1" w:val="04A0"/>
        <w:tblBorders>
          <w:top w:val="single" w:sz="6" w:color="D6DEE5"/>
          <w:left w:val="single" w:sz="6" w:color="D6DEE5"/>
          <w:bottom w:val="single" w:sz="6" w:color="D6DEE5"/>
          <w:right w:val="single" w:sz="6" w:color="D6DEE5"/>
          <w:insideH w:val="single" w:sz="6" w:color="D6DEE5"/>
          <w:insideV w:val="single" w:sz="6" w:color="D6DEE5"/>
        </w:tblBorders>
      </w:tblPr>
      <w:tblGrid>
        <w:gridCol w:w="3216"/>
        <w:gridCol w:w="3216"/>
        <w:gridCol w:w="3216"/>
      </w:tblGrid>
      <w:tr>
        <w:trPr>
          <w:tblHeader w:val="true"/>
        </w:trPr>
        <w:tc>
          <w:tcPr>
            <w:tcW w:type="dxa" w:w="2088"/>
            <w:shd w:fill="17365D"/>
            <w:tcMar>
              <w:top w:w="100" w:type="dxa"/>
              <w:start w:w="140" w:type="dxa"/>
              <w:bottom w:w="100" w:type="dxa"/>
              <w:end w:w="140" w:type="dxa"/>
            </w:tcMar>
            <w:vAlign w:val="center"/>
          </w:tcPr>
          <w:p>
            <w:pPr>
              <w:spacing w:after="0"/>
            </w:pPr>
            <w:r>
              <w:rPr>
                <w:b/>
                <w:color w:val="FFFFFF"/>
                <w:sz w:val="19"/>
              </w:rPr>
              <w:t>Role</w:t>
            </w:r>
          </w:p>
        </w:tc>
        <w:tc>
          <w:tcPr>
            <w:tcW w:type="dxa" w:w="4464"/>
            <w:shd w:fill="17365D"/>
            <w:tcMar>
              <w:top w:w="100" w:type="dxa"/>
              <w:start w:w="140" w:type="dxa"/>
              <w:bottom w:w="100" w:type="dxa"/>
              <w:end w:w="140" w:type="dxa"/>
            </w:tcMar>
            <w:vAlign w:val="center"/>
          </w:tcPr>
          <w:p>
            <w:pPr>
              <w:spacing w:after="0"/>
            </w:pPr>
            <w:r>
              <w:rPr>
                <w:b/>
                <w:color w:val="FFFFFF"/>
                <w:sz w:val="19"/>
              </w:rPr>
              <w:t>Primary authority</w:t>
            </w:r>
          </w:p>
        </w:tc>
        <w:tc>
          <w:tcPr>
            <w:tcW w:type="dxa" w:w="3024"/>
            <w:shd w:fill="17365D"/>
            <w:tcMar>
              <w:top w:w="100" w:type="dxa"/>
              <w:start w:w="140" w:type="dxa"/>
              <w:bottom w:w="100" w:type="dxa"/>
              <w:end w:w="140" w:type="dxa"/>
            </w:tcMar>
            <w:vAlign w:val="center"/>
          </w:tcPr>
          <w:p>
            <w:pPr>
              <w:spacing w:after="0"/>
            </w:pPr>
            <w:r>
              <w:rPr>
                <w:b/>
                <w:color w:val="FFFFFF"/>
                <w:sz w:val="19"/>
              </w:rPr>
              <w:t>Key boundary</w:t>
            </w:r>
          </w:p>
        </w:tc>
      </w:tr>
      <w:tr>
        <w:tc>
          <w:tcPr>
            <w:tcW w:type="dxa" w:w="2088"/>
            <w:tcMar>
              <w:top w:w="100" w:type="dxa"/>
              <w:start w:w="140" w:type="dxa"/>
              <w:bottom w:w="100" w:type="dxa"/>
              <w:end w:w="140" w:type="dxa"/>
            </w:tcMar>
            <w:vAlign w:val="center"/>
          </w:tcPr>
          <w:p>
            <w:pPr>
              <w:spacing w:after="0"/>
            </w:pPr>
            <w:r>
              <w:rPr>
                <w:sz w:val="19"/>
              </w:rPr>
              <w:t>Platform Owner/Administrator</w:t>
            </w:r>
          </w:p>
        </w:tc>
        <w:tc>
          <w:tcPr>
            <w:tcW w:type="dxa" w:w="4464"/>
            <w:tcMar>
              <w:top w:w="100" w:type="dxa"/>
              <w:start w:w="140" w:type="dxa"/>
              <w:bottom w:w="100" w:type="dxa"/>
              <w:end w:w="140" w:type="dxa"/>
            </w:tcMar>
            <w:vAlign w:val="center"/>
          </w:tcPr>
          <w:p>
            <w:pPr>
              <w:spacing w:after="0"/>
            </w:pPr>
            <w:r>
              <w:rPr>
                <w:sz w:val="19"/>
              </w:rPr>
              <w:t>System governance, content, appointments, finance, repository and audit oversight</w:t>
            </w:r>
          </w:p>
        </w:tc>
        <w:tc>
          <w:tcPr>
            <w:tcW w:type="dxa" w:w="3024"/>
            <w:tcMar>
              <w:top w:w="100" w:type="dxa"/>
              <w:start w:w="140" w:type="dxa"/>
              <w:bottom w:w="100" w:type="dxa"/>
              <w:end w:w="140" w:type="dxa"/>
            </w:tcMar>
            <w:vAlign w:val="center"/>
          </w:tcPr>
          <w:p>
            <w:pPr>
              <w:spacing w:after="0"/>
            </w:pPr>
            <w:r>
              <w:rPr>
                <w:sz w:val="19"/>
              </w:rPr>
              <w:t>Must preserve due process and confidential records</w:t>
            </w:r>
          </w:p>
        </w:tc>
      </w:tr>
      <w:tr>
        <w:tc>
          <w:tcPr>
            <w:tcW w:type="dxa" w:w="2088"/>
            <w:tcMar>
              <w:top w:w="100" w:type="dxa"/>
              <w:start w:w="140" w:type="dxa"/>
              <w:bottom w:w="100" w:type="dxa"/>
              <w:end w:w="140" w:type="dxa"/>
            </w:tcMar>
            <w:vAlign w:val="center"/>
            <w:shd w:fill="F3F7FA"/>
          </w:tcPr>
          <w:p>
            <w:pPr>
              <w:spacing w:after="0"/>
            </w:pPr>
            <w:r>
              <w:rPr>
                <w:sz w:val="19"/>
              </w:rPr>
              <w:t>Institutional Administrator</w:t>
            </w:r>
          </w:p>
        </w:tc>
        <w:tc>
          <w:tcPr>
            <w:tcW w:type="dxa" w:w="4464"/>
            <w:tcMar>
              <w:top w:w="100" w:type="dxa"/>
              <w:start w:w="140" w:type="dxa"/>
              <w:bottom w:w="100" w:type="dxa"/>
              <w:end w:w="140" w:type="dxa"/>
            </w:tcMar>
            <w:vAlign w:val="center"/>
            <w:shd w:fill="F3F7FA"/>
          </w:tcPr>
          <w:p>
            <w:pPr>
              <w:spacing w:after="0"/>
            </w:pPr>
            <w:r>
              <w:rPr>
                <w:sz w:val="19"/>
              </w:rPr>
              <w:t>Affiliation verification, invitations and aggregate institutional reports</w:t>
            </w:r>
          </w:p>
        </w:tc>
        <w:tc>
          <w:tcPr>
            <w:tcW w:type="dxa" w:w="3024"/>
            <w:tcMar>
              <w:top w:w="100" w:type="dxa"/>
              <w:start w:w="140" w:type="dxa"/>
              <w:bottom w:w="100" w:type="dxa"/>
              <w:end w:w="140" w:type="dxa"/>
            </w:tcMar>
            <w:vAlign w:val="center"/>
            <w:shd w:fill="F3F7FA"/>
          </w:tcPr>
          <w:p>
            <w:pPr>
              <w:spacing w:after="0"/>
            </w:pPr>
            <w:r>
              <w:rPr>
                <w:sz w:val="19"/>
              </w:rPr>
              <w:t>No platform-wide, payment or confidential review access</w:t>
            </w:r>
          </w:p>
        </w:tc>
      </w:tr>
      <w:tr>
        <w:tc>
          <w:tcPr>
            <w:tcW w:type="dxa" w:w="2088"/>
            <w:tcMar>
              <w:top w:w="100" w:type="dxa"/>
              <w:start w:w="140" w:type="dxa"/>
              <w:bottom w:w="100" w:type="dxa"/>
              <w:end w:w="140" w:type="dxa"/>
            </w:tcMar>
            <w:vAlign w:val="center"/>
          </w:tcPr>
          <w:p>
            <w:pPr>
              <w:spacing w:after="0"/>
            </w:pPr>
            <w:r>
              <w:rPr>
                <w:sz w:val="19"/>
              </w:rPr>
              <w:t>Editor</w:t>
            </w:r>
          </w:p>
        </w:tc>
        <w:tc>
          <w:tcPr>
            <w:tcW w:type="dxa" w:w="4464"/>
            <w:tcMar>
              <w:top w:w="100" w:type="dxa"/>
              <w:start w:w="140" w:type="dxa"/>
              <w:bottom w:w="100" w:type="dxa"/>
              <w:end w:w="140" w:type="dxa"/>
            </w:tcMar>
            <w:vAlign w:val="center"/>
          </w:tcPr>
          <w:p>
            <w:pPr>
              <w:spacing w:after="0"/>
            </w:pPr>
            <w:r>
              <w:rPr>
                <w:sz w:val="19"/>
              </w:rPr>
              <w:t>Screening, assignment, revision requests and publication decisions</w:t>
            </w:r>
          </w:p>
        </w:tc>
        <w:tc>
          <w:tcPr>
            <w:tcW w:type="dxa" w:w="3024"/>
            <w:tcMar>
              <w:top w:w="100" w:type="dxa"/>
              <w:start w:w="140" w:type="dxa"/>
              <w:bottom w:w="100" w:type="dxa"/>
              <w:end w:w="140" w:type="dxa"/>
            </w:tcMar>
            <w:vAlign w:val="center"/>
          </w:tcPr>
          <w:p>
            <w:pPr>
              <w:spacing w:after="0"/>
            </w:pPr>
            <w:r>
              <w:rPr>
                <w:sz w:val="19"/>
              </w:rPr>
              <w:t>Cannot alter reviewer reports or authorship records improperly</w:t>
            </w:r>
          </w:p>
        </w:tc>
      </w:tr>
      <w:tr>
        <w:tc>
          <w:tcPr>
            <w:tcW w:type="dxa" w:w="2088"/>
            <w:tcMar>
              <w:top w:w="100" w:type="dxa"/>
              <w:start w:w="140" w:type="dxa"/>
              <w:bottom w:w="100" w:type="dxa"/>
              <w:end w:w="140" w:type="dxa"/>
            </w:tcMar>
            <w:vAlign w:val="center"/>
            <w:shd w:fill="F3F7FA"/>
          </w:tcPr>
          <w:p>
            <w:pPr>
              <w:spacing w:after="0"/>
            </w:pPr>
            <w:r>
              <w:rPr>
                <w:sz w:val="19"/>
              </w:rPr>
              <w:t>Lecturer/Mentor</w:t>
            </w:r>
          </w:p>
        </w:tc>
        <w:tc>
          <w:tcPr>
            <w:tcW w:type="dxa" w:w="4464"/>
            <w:tcMar>
              <w:top w:w="100" w:type="dxa"/>
              <w:start w:w="140" w:type="dxa"/>
              <w:bottom w:w="100" w:type="dxa"/>
              <w:end w:w="140" w:type="dxa"/>
            </w:tcMar>
            <w:vAlign w:val="center"/>
            <w:shd w:fill="F3F7FA"/>
          </w:tcPr>
          <w:p>
            <w:pPr>
              <w:spacing w:after="0"/>
            </w:pPr>
            <w:r>
              <w:rPr>
                <w:sz w:val="19"/>
              </w:rPr>
              <w:t>Consultation and academic guidance</w:t>
            </w:r>
          </w:p>
        </w:tc>
        <w:tc>
          <w:tcPr>
            <w:tcW w:type="dxa" w:w="3024"/>
            <w:tcMar>
              <w:top w:w="100" w:type="dxa"/>
              <w:start w:w="140" w:type="dxa"/>
              <w:bottom w:w="100" w:type="dxa"/>
              <w:end w:w="140" w:type="dxa"/>
            </w:tcMar>
            <w:vAlign w:val="center"/>
            <w:shd w:fill="F3F7FA"/>
          </w:tcPr>
          <w:p>
            <w:pPr>
              <w:spacing w:after="0"/>
            </w:pPr>
            <w:r>
              <w:rPr>
                <w:sz w:val="19"/>
              </w:rPr>
              <w:t>Access limited to consultations assigned or accepted</w:t>
            </w:r>
          </w:p>
        </w:tc>
      </w:tr>
      <w:tr>
        <w:tc>
          <w:tcPr>
            <w:tcW w:type="dxa" w:w="2088"/>
            <w:tcMar>
              <w:top w:w="100" w:type="dxa"/>
              <w:start w:w="140" w:type="dxa"/>
              <w:bottom w:w="100" w:type="dxa"/>
              <w:end w:w="140" w:type="dxa"/>
            </w:tcMar>
            <w:vAlign w:val="center"/>
          </w:tcPr>
          <w:p>
            <w:pPr>
              <w:spacing w:after="0"/>
            </w:pPr>
            <w:r>
              <w:rPr>
                <w:sz w:val="19"/>
              </w:rPr>
              <w:t>Peer Reviewer</w:t>
            </w:r>
          </w:p>
        </w:tc>
        <w:tc>
          <w:tcPr>
            <w:tcW w:type="dxa" w:w="4464"/>
            <w:tcMar>
              <w:top w:w="100" w:type="dxa"/>
              <w:start w:w="140" w:type="dxa"/>
              <w:bottom w:w="100" w:type="dxa"/>
              <w:end w:w="140" w:type="dxa"/>
            </w:tcMar>
            <w:vAlign w:val="center"/>
          </w:tcPr>
          <w:p>
            <w:pPr>
              <w:spacing w:after="0"/>
            </w:pPr>
            <w:r>
              <w:rPr>
                <w:sz w:val="19"/>
              </w:rPr>
              <w:t>Confidential expert assessment</w:t>
            </w:r>
          </w:p>
        </w:tc>
        <w:tc>
          <w:tcPr>
            <w:tcW w:type="dxa" w:w="3024"/>
            <w:tcMar>
              <w:top w:w="100" w:type="dxa"/>
              <w:start w:w="140" w:type="dxa"/>
              <w:bottom w:w="100" w:type="dxa"/>
              <w:end w:w="140" w:type="dxa"/>
            </w:tcMar>
            <w:vAlign w:val="center"/>
          </w:tcPr>
          <w:p>
            <w:pPr>
              <w:spacing w:after="0"/>
            </w:pPr>
            <w:r>
              <w:rPr>
                <w:sz w:val="19"/>
              </w:rPr>
              <w:t>No unauthorised author contact or disclosure</w:t>
            </w:r>
          </w:p>
        </w:tc>
      </w:tr>
      <w:tr>
        <w:tc>
          <w:tcPr>
            <w:tcW w:type="dxa" w:w="2088"/>
            <w:tcMar>
              <w:top w:w="100" w:type="dxa"/>
              <w:start w:w="140" w:type="dxa"/>
              <w:bottom w:w="100" w:type="dxa"/>
              <w:end w:w="140" w:type="dxa"/>
            </w:tcMar>
            <w:vAlign w:val="center"/>
            <w:shd w:fill="F3F7FA"/>
          </w:tcPr>
          <w:p>
            <w:pPr>
              <w:spacing w:after="0"/>
            </w:pPr>
            <w:r>
              <w:rPr>
                <w:sz w:val="19"/>
              </w:rPr>
              <w:t>Student/Author</w:t>
            </w:r>
          </w:p>
        </w:tc>
        <w:tc>
          <w:tcPr>
            <w:tcW w:type="dxa" w:w="4464"/>
            <w:tcMar>
              <w:top w:w="100" w:type="dxa"/>
              <w:start w:w="140" w:type="dxa"/>
              <w:bottom w:w="100" w:type="dxa"/>
              <w:end w:w="140" w:type="dxa"/>
            </w:tcMar>
            <w:vAlign w:val="center"/>
            <w:shd w:fill="F3F7FA"/>
          </w:tcPr>
          <w:p>
            <w:pPr>
              <w:spacing w:after="0"/>
            </w:pPr>
            <w:r>
              <w:rPr>
                <w:sz w:val="19"/>
              </w:rPr>
              <w:t>Own topics, learning, support requests, submissions and revisions</w:t>
            </w:r>
          </w:p>
        </w:tc>
        <w:tc>
          <w:tcPr>
            <w:tcW w:type="dxa" w:w="3024"/>
            <w:tcMar>
              <w:top w:w="100" w:type="dxa"/>
              <w:start w:w="140" w:type="dxa"/>
              <w:bottom w:w="100" w:type="dxa"/>
              <w:end w:w="140" w:type="dxa"/>
            </w:tcMar>
            <w:vAlign w:val="center"/>
            <w:shd w:fill="F3F7FA"/>
          </w:tcPr>
          <w:p>
            <w:pPr>
              <w:spacing w:after="0"/>
            </w:pPr>
            <w:r>
              <w:rPr>
                <w:sz w:val="19"/>
              </w:rPr>
              <w:t>No access to confidential reviewer identity or others' private work</w:t>
            </w:r>
          </w:p>
        </w:tc>
      </w:tr>
    </w:tbl>
    <w:p>
      <w:pPr>
        <w:widowControl/>
        <w:spacing w:after="0"/>
      </w:pPr>
    </w:p>
    <w:p>
      <w:pPr>
        <w:pStyle w:val="Heading1"/>
        <w:keepNext/>
        <w:widowControl/>
      </w:pPr>
      <w:r>
        <w:t>11. Partnership and Membership Model</w:t>
      </w:r>
    </w:p>
    <w:p>
      <w:pPr>
        <w:pStyle w:val="Heading2"/>
        <w:keepNext/>
        <w:widowControl/>
      </w:pPr>
      <w:r>
        <w:t>11.1 Institutional Partners</w:t>
      </w:r>
    </w:p>
    <w:p>
      <w:pPr>
        <w:widowControl/>
      </w:pPr>
      <w:r>
        <w:rPr>
          <w:i w:val="0"/>
        </w:rPr>
        <w:t>Universities, colleges, research institutes and professional bodies may participate through a pilot, partnership proposal and, where appropriate, a Memorandum of Understanding. An institution may appoint an administrator, verify members, nominate lecturers and reviewers, contribute learning content, support research events and showcase approved outputs.</w:t>
      </w:r>
    </w:p>
    <w:p>
      <w:pPr>
        <w:pStyle w:val="Heading2"/>
        <w:keepNext/>
        <w:widowControl/>
      </w:pPr>
      <w:r>
        <w:t>11.2 Lecturer Participation</w:t>
      </w:r>
    </w:p>
    <w:p>
      <w:pPr>
        <w:widowControl/>
      </w:pPr>
      <w:r>
        <w:rPr>
          <w:i w:val="0"/>
        </w:rPr>
        <w:t>Lecturers may serve as topic consultants, mentors, course facilitators, editors, supervisors or institutional representatives according to verified qualifications and agreed workload. Participation should be governed by a role description, code of conduct and clear statement of voluntary, recognised or paid activities.</w:t>
      </w:r>
    </w:p>
    <w:p>
      <w:pPr>
        <w:pStyle w:val="Heading2"/>
        <w:keepNext/>
        <w:widowControl/>
      </w:pPr>
      <w:r>
        <w:t>11.3 Peer Reviewer Membership</w:t>
      </w:r>
    </w:p>
    <w:p>
      <w:pPr>
        <w:widowControl/>
      </w:pPr>
      <w:r>
        <w:rPr>
          <w:i w:val="0"/>
        </w:rPr>
        <w:t>Reviewers are selected according to disciplinary expertise, qualifications, experience and ethical standing. They complete expertise profiles, confidentiality and conflict-of-interest declarations, and reviewer guidance before receiving assignments.</w:t>
      </w:r>
    </w:p>
    <w:p>
      <w:pPr>
        <w:pStyle w:val="Heading1"/>
        <w:keepNext/>
        <w:widowControl/>
      </w:pPr>
      <w:r>
        <w:t>12. Sustainability Model</w:t>
      </w:r>
    </w:p>
    <w:p>
      <w:pPr>
        <w:widowControl/>
      </w:pPr>
      <w:r>
        <w:rPr>
          <w:i w:val="0"/>
        </w:rPr>
        <w:t>ResearchBridge Africa should pursue blended sustainability so that essential learning and research-development opportunities remain accessible while specialised services and institutional arrangements finance quality operations.</w:t>
      </w:r>
    </w:p>
    <w:p>
      <w:pPr>
        <w:pStyle w:val="ListBullet"/>
        <w:widowControl/>
        <w:spacing w:after="80"/>
        <w:ind w:left="360" w:hanging="230"/>
      </w:pPr>
      <w:r>
        <w:t>Institutional subscriptions, service agreements or partnership contributions.</w:t>
      </w:r>
    </w:p>
    <w:p>
      <w:pPr>
        <w:pStyle w:val="ListBullet"/>
        <w:widowControl/>
        <w:spacing w:after="80"/>
        <w:ind w:left="360" w:hanging="230"/>
      </w:pPr>
      <w:r>
        <w:t>Transparent fees for optional editing, methodology, data-analysis and specialist support.</w:t>
      </w:r>
    </w:p>
    <w:p>
      <w:pPr>
        <w:pStyle w:val="ListBullet"/>
        <w:widowControl/>
        <w:spacing w:after="80"/>
        <w:ind w:left="360" w:hanging="230"/>
      </w:pPr>
      <w:r>
        <w:t>Training programmes, short courses, workshops and professional development.</w:t>
      </w:r>
    </w:p>
    <w:p>
      <w:pPr>
        <w:pStyle w:val="ListBullet"/>
        <w:widowControl/>
        <w:spacing w:after="80"/>
        <w:ind w:left="360" w:hanging="230"/>
      </w:pPr>
      <w:r>
        <w:t>Publication or repository services where justified, disclosed and separated from editorial acceptance.</w:t>
      </w:r>
    </w:p>
    <w:p>
      <w:pPr>
        <w:pStyle w:val="ListBullet"/>
        <w:widowControl/>
        <w:spacing w:after="80"/>
        <w:ind w:left="360" w:hanging="230"/>
      </w:pPr>
      <w:r>
        <w:t>Grants, sponsorships and donor-supported inclusion programmes.</w:t>
      </w:r>
    </w:p>
    <w:p>
      <w:pPr>
        <w:pStyle w:val="ListBullet"/>
        <w:widowControl/>
        <w:spacing w:after="80"/>
        <w:ind w:left="360" w:hanging="230"/>
      </w:pPr>
      <w:r>
        <w:t>Ethical commissions or service charges on verified transactions.</w:t>
      </w:r>
    </w:p>
    <w:tbl>
      <w:tblPr>
        <w:tblW w:type="auto" w:w="0"/>
        <w:jc w:val="center"/>
        <w:tblLayout w:type="fixed"/>
        <w:tblLook w:firstColumn="1" w:firstRow="1" w:lastColumn="0" w:lastRow="0" w:noHBand="0" w:noVBand="1" w:val="04A0"/>
        <w:tblBorders>
          <w:top w:val="single" w:sz="2" w:color="EAF2F8"/>
          <w:left w:val="single" w:sz="2" w:color="EAF2F8"/>
          <w:bottom w:val="single" w:sz="2" w:color="EAF2F8"/>
          <w:right w:val="single" w:sz="2" w:color="EAF2F8"/>
          <w:insideH w:val="single" w:sz="2" w:color="EAF2F8"/>
          <w:insideV w:val="single" w:sz="2" w:color="EAF2F8"/>
        </w:tblBorders>
      </w:tblPr>
      <w:tblGrid>
        <w:gridCol w:w="9432"/>
      </w:tblGrid>
      <w:tr>
        <w:tc>
          <w:tcPr>
            <w:tcW w:type="dxa" w:w="9432"/>
            <w:vAlign w:val="center"/>
            <w:shd w:fill="EAF2F8"/>
            <w:tcMar>
              <w:top w:w="150" w:type="dxa"/>
              <w:start w:w="190" w:type="dxa"/>
              <w:bottom w:w="150" w:type="dxa"/>
              <w:end w:w="190" w:type="dxa"/>
            </w:tcMar>
          </w:tcPr>
          <w:p>
            <w:pPr>
              <w:spacing w:after="0"/>
            </w:pPr>
            <w:r>
              <w:rPr>
                <w:b/>
                <w:color w:val="17365D"/>
              </w:rPr>
              <w:t xml:space="preserve">Financial principle: </w:t>
            </w:r>
            <w:r>
              <w:t>Payment must never purchase a favourable editorial decision. Fees, waivers, reviewer judgement and publication decisions must remain transparently separated.</w:t>
            </w:r>
          </w:p>
        </w:tc>
      </w:tr>
    </w:tbl>
    <w:p>
      <w:pPr>
        <w:widowControl/>
        <w:spacing w:after="0"/>
      </w:pPr>
    </w:p>
    <w:p>
      <w:pPr>
        <w:pStyle w:val="Heading1"/>
        <w:keepNext/>
        <w:widowControl/>
      </w:pPr>
      <w:r>
        <w:t>13. Technology, Privacy and Data Stewardship</w:t>
      </w:r>
    </w:p>
    <w:p>
      <w:pPr>
        <w:widowControl/>
      </w:pPr>
      <w:r>
        <w:rPr>
          <w:i w:val="0"/>
        </w:rPr>
        <w:t>The platform is designed around protected accounts, role-based access, private file handling, audit records and controlled publication. Users should receive plain-language information about data collection, purpose, retention, sharing, correction and withdrawal. Authors retain copyright while granting only the permissions needed for agreed review, repository display and dissemination.</w:t>
      </w:r>
    </w:p>
    <w:p>
      <w:pPr>
        <w:pStyle w:val="ListBullet"/>
        <w:widowControl/>
        <w:spacing w:after="80"/>
        <w:ind w:left="360" w:hanging="230"/>
      </w:pPr>
      <w:r>
        <w:t>Payment credentials, Mobile Money PINs, card details and one-time passwords are handled by the payment gateway, not stored by ResearchBridge Africa.</w:t>
      </w:r>
    </w:p>
    <w:p>
      <w:pPr>
        <w:pStyle w:val="ListBullet"/>
        <w:widowControl/>
        <w:spacing w:after="80"/>
        <w:ind w:left="360" w:hanging="230"/>
      </w:pPr>
      <w:r>
        <w:t>Uploaded manuscripts remain private until access is authorised for a defined editorial, support or publication purpose.</w:t>
      </w:r>
    </w:p>
    <w:p>
      <w:pPr>
        <w:pStyle w:val="ListBullet"/>
        <w:widowControl/>
        <w:spacing w:after="80"/>
        <w:ind w:left="360" w:hanging="230"/>
      </w:pPr>
      <w:r>
        <w:t>Backups, incident response, access review and secure configuration should be tested before wider public launch.</w:t>
      </w:r>
    </w:p>
    <w:p>
      <w:pPr>
        <w:pStyle w:val="ListBullet"/>
        <w:widowControl/>
        <w:spacing w:after="80"/>
        <w:ind w:left="360" w:hanging="230"/>
      </w:pPr>
      <w:r>
        <w:t>Automated tools should assist human judgement and disclose their limitations; they should not make unreviewable high-stakes academic decisions.</w:t>
      </w:r>
    </w:p>
    <w:p>
      <w:pPr>
        <w:pStyle w:val="Heading1"/>
        <w:keepNext/>
        <w:widowControl/>
      </w:pPr>
      <w:r>
        <w:t>14. Implementation Approach</w:t>
      </w:r>
    </w:p>
    <w:tbl>
      <w:tblPr>
        <w:tblW w:type="auto" w:w="0"/>
        <w:jc w:val="center"/>
        <w:tblLayout w:type="fixed"/>
        <w:tblLook w:firstColumn="1" w:firstRow="1" w:lastColumn="0" w:lastRow="0" w:noHBand="0" w:noVBand="1" w:val="04A0"/>
        <w:tblBorders>
          <w:top w:val="single" w:sz="6" w:color="D6DEE5"/>
          <w:left w:val="single" w:sz="6" w:color="D6DEE5"/>
          <w:bottom w:val="single" w:sz="6" w:color="D6DEE5"/>
          <w:right w:val="single" w:sz="6" w:color="D6DEE5"/>
          <w:insideH w:val="single" w:sz="6" w:color="D6DEE5"/>
          <w:insideV w:val="single" w:sz="6" w:color="D6DEE5"/>
        </w:tblBorders>
      </w:tblPr>
      <w:tblGrid>
        <w:gridCol w:w="3216"/>
        <w:gridCol w:w="3216"/>
        <w:gridCol w:w="3216"/>
      </w:tblGrid>
      <w:tr>
        <w:trPr>
          <w:tblHeader w:val="true"/>
        </w:trPr>
        <w:tc>
          <w:tcPr>
            <w:tcW w:type="dxa" w:w="1800"/>
            <w:shd w:fill="17365D"/>
            <w:tcMar>
              <w:top w:w="100" w:type="dxa"/>
              <w:start w:w="140" w:type="dxa"/>
              <w:bottom w:w="100" w:type="dxa"/>
              <w:end w:w="140" w:type="dxa"/>
            </w:tcMar>
            <w:vAlign w:val="center"/>
          </w:tcPr>
          <w:p>
            <w:pPr>
              <w:spacing w:after="0"/>
            </w:pPr>
            <w:r>
              <w:rPr>
                <w:b/>
                <w:color w:val="FFFFFF"/>
                <w:sz w:val="19"/>
              </w:rPr>
              <w:t>Phase</w:t>
            </w:r>
          </w:p>
        </w:tc>
        <w:tc>
          <w:tcPr>
            <w:tcW w:type="dxa" w:w="3528"/>
            <w:shd w:fill="17365D"/>
            <w:tcMar>
              <w:top w:w="100" w:type="dxa"/>
              <w:start w:w="140" w:type="dxa"/>
              <w:bottom w:w="100" w:type="dxa"/>
              <w:end w:w="140" w:type="dxa"/>
            </w:tcMar>
            <w:vAlign w:val="center"/>
          </w:tcPr>
          <w:p>
            <w:pPr>
              <w:spacing w:after="0"/>
            </w:pPr>
            <w:r>
              <w:rPr>
                <w:b/>
                <w:color w:val="FFFFFF"/>
                <w:sz w:val="19"/>
              </w:rPr>
              <w:t>Focus</w:t>
            </w:r>
          </w:p>
        </w:tc>
        <w:tc>
          <w:tcPr>
            <w:tcW w:type="dxa" w:w="4104"/>
            <w:shd w:fill="17365D"/>
            <w:tcMar>
              <w:top w:w="100" w:type="dxa"/>
              <w:start w:w="140" w:type="dxa"/>
              <w:bottom w:w="100" w:type="dxa"/>
              <w:end w:w="140" w:type="dxa"/>
            </w:tcMar>
            <w:vAlign w:val="center"/>
          </w:tcPr>
          <w:p>
            <w:pPr>
              <w:spacing w:after="0"/>
            </w:pPr>
            <w:r>
              <w:rPr>
                <w:b/>
                <w:color w:val="FFFFFF"/>
                <w:sz w:val="19"/>
              </w:rPr>
              <w:t>Indicative outputs</w:t>
            </w:r>
          </w:p>
        </w:tc>
      </w:tr>
      <w:tr>
        <w:tc>
          <w:tcPr>
            <w:tcW w:type="dxa" w:w="1800"/>
            <w:tcMar>
              <w:top w:w="100" w:type="dxa"/>
              <w:start w:w="140" w:type="dxa"/>
              <w:bottom w:w="100" w:type="dxa"/>
              <w:end w:w="140" w:type="dxa"/>
            </w:tcMar>
            <w:vAlign w:val="center"/>
          </w:tcPr>
          <w:p>
            <w:pPr>
              <w:spacing w:after="0"/>
            </w:pPr>
            <w:r>
              <w:rPr>
                <w:sz w:val="19"/>
              </w:rPr>
              <w:t>1. Owner validation</w:t>
            </w:r>
          </w:p>
        </w:tc>
        <w:tc>
          <w:tcPr>
            <w:tcW w:type="dxa" w:w="3528"/>
            <w:tcMar>
              <w:top w:w="100" w:type="dxa"/>
              <w:start w:w="140" w:type="dxa"/>
              <w:bottom w:w="100" w:type="dxa"/>
              <w:end w:w="140" w:type="dxa"/>
            </w:tcMar>
            <w:vAlign w:val="center"/>
          </w:tcPr>
          <w:p>
            <w:pPr>
              <w:spacing w:after="0"/>
            </w:pPr>
            <w:r>
              <w:rPr>
                <w:sz w:val="19"/>
              </w:rPr>
              <w:t>End-to-end internal workflow and security testing</w:t>
            </w:r>
          </w:p>
        </w:tc>
        <w:tc>
          <w:tcPr>
            <w:tcW w:type="dxa" w:w="4104"/>
            <w:tcMar>
              <w:top w:w="100" w:type="dxa"/>
              <w:start w:w="140" w:type="dxa"/>
              <w:bottom w:w="100" w:type="dxa"/>
              <w:end w:w="140" w:type="dxa"/>
            </w:tcMar>
            <w:vAlign w:val="center"/>
          </w:tcPr>
          <w:p>
            <w:pPr>
              <w:spacing w:after="0"/>
            </w:pPr>
            <w:r>
              <w:rPr>
                <w:sz w:val="19"/>
              </w:rPr>
              <w:t>Corrected prototype, test data and readiness checklist</w:t>
            </w:r>
          </w:p>
        </w:tc>
      </w:tr>
      <w:tr>
        <w:tc>
          <w:tcPr>
            <w:tcW w:type="dxa" w:w="1800"/>
            <w:tcMar>
              <w:top w:w="100" w:type="dxa"/>
              <w:start w:w="140" w:type="dxa"/>
              <w:bottom w:w="100" w:type="dxa"/>
              <w:end w:w="140" w:type="dxa"/>
            </w:tcMar>
            <w:vAlign w:val="center"/>
            <w:shd w:fill="F3F7FA"/>
          </w:tcPr>
          <w:p>
            <w:pPr>
              <w:spacing w:after="0"/>
            </w:pPr>
            <w:r>
              <w:rPr>
                <w:sz w:val="19"/>
              </w:rPr>
              <w:t>2. Controlled pilot</w:t>
            </w:r>
          </w:p>
        </w:tc>
        <w:tc>
          <w:tcPr>
            <w:tcW w:type="dxa" w:w="3528"/>
            <w:tcMar>
              <w:top w:w="100" w:type="dxa"/>
              <w:start w:w="140" w:type="dxa"/>
              <w:bottom w:w="100" w:type="dxa"/>
              <w:end w:w="140" w:type="dxa"/>
            </w:tcMar>
            <w:vAlign w:val="center"/>
            <w:shd w:fill="F3F7FA"/>
          </w:tcPr>
          <w:p>
            <w:pPr>
              <w:spacing w:after="0"/>
            </w:pPr>
            <w:r>
              <w:rPr>
                <w:sz w:val="19"/>
              </w:rPr>
              <w:t>Small role-balanced group of students, lecturer and reviewer</w:t>
            </w:r>
          </w:p>
        </w:tc>
        <w:tc>
          <w:tcPr>
            <w:tcW w:type="dxa" w:w="4104"/>
            <w:tcMar>
              <w:top w:w="100" w:type="dxa"/>
              <w:start w:w="140" w:type="dxa"/>
              <w:bottom w:w="100" w:type="dxa"/>
              <w:end w:w="140" w:type="dxa"/>
            </w:tcMar>
            <w:vAlign w:val="center"/>
            <w:shd w:fill="F3F7FA"/>
          </w:tcPr>
          <w:p>
            <w:pPr>
              <w:spacing w:after="0"/>
            </w:pPr>
            <w:r>
              <w:rPr>
                <w:sz w:val="19"/>
              </w:rPr>
              <w:t>Usability findings, workflow evidence and prioritised fixes</w:t>
            </w:r>
          </w:p>
        </w:tc>
      </w:tr>
      <w:tr>
        <w:tc>
          <w:tcPr>
            <w:tcW w:type="dxa" w:w="1800"/>
            <w:tcMar>
              <w:top w:w="100" w:type="dxa"/>
              <w:start w:w="140" w:type="dxa"/>
              <w:bottom w:w="100" w:type="dxa"/>
              <w:end w:w="140" w:type="dxa"/>
            </w:tcMar>
            <w:vAlign w:val="center"/>
          </w:tcPr>
          <w:p>
            <w:pPr>
              <w:spacing w:after="0"/>
            </w:pPr>
            <w:r>
              <w:rPr>
                <w:sz w:val="19"/>
              </w:rPr>
              <w:t>3. Institutional pilot</w:t>
            </w:r>
          </w:p>
        </w:tc>
        <w:tc>
          <w:tcPr>
            <w:tcW w:type="dxa" w:w="3528"/>
            <w:tcMar>
              <w:top w:w="100" w:type="dxa"/>
              <w:start w:w="140" w:type="dxa"/>
              <w:bottom w:w="100" w:type="dxa"/>
              <w:end w:w="140" w:type="dxa"/>
            </w:tcMar>
            <w:vAlign w:val="center"/>
          </w:tcPr>
          <w:p>
            <w:pPr>
              <w:spacing w:after="0"/>
            </w:pPr>
            <w:r>
              <w:rPr>
                <w:sz w:val="19"/>
              </w:rPr>
              <w:t>One or more partner institutions and appointed administrators</w:t>
            </w:r>
          </w:p>
        </w:tc>
        <w:tc>
          <w:tcPr>
            <w:tcW w:type="dxa" w:w="4104"/>
            <w:tcMar>
              <w:top w:w="100" w:type="dxa"/>
              <w:start w:w="140" w:type="dxa"/>
              <w:bottom w:w="100" w:type="dxa"/>
              <w:end w:w="140" w:type="dxa"/>
            </w:tcMar>
            <w:vAlign w:val="center"/>
          </w:tcPr>
          <w:p>
            <w:pPr>
              <w:spacing w:after="0"/>
            </w:pPr>
            <w:r>
              <w:rPr>
                <w:sz w:val="19"/>
              </w:rPr>
              <w:t>Partnership process, institutional reports and participation data</w:t>
            </w:r>
          </w:p>
        </w:tc>
      </w:tr>
      <w:tr>
        <w:tc>
          <w:tcPr>
            <w:tcW w:type="dxa" w:w="1800"/>
            <w:tcMar>
              <w:top w:w="100" w:type="dxa"/>
              <w:start w:w="140" w:type="dxa"/>
              <w:bottom w:w="100" w:type="dxa"/>
              <w:end w:w="140" w:type="dxa"/>
            </w:tcMar>
            <w:vAlign w:val="center"/>
            <w:shd w:fill="F3F7FA"/>
          </w:tcPr>
          <w:p>
            <w:pPr>
              <w:spacing w:after="0"/>
            </w:pPr>
            <w:r>
              <w:rPr>
                <w:sz w:val="19"/>
              </w:rPr>
              <w:t>4. Wider rollout</w:t>
            </w:r>
          </w:p>
        </w:tc>
        <w:tc>
          <w:tcPr>
            <w:tcW w:type="dxa" w:w="3528"/>
            <w:tcMar>
              <w:top w:w="100" w:type="dxa"/>
              <w:start w:w="140" w:type="dxa"/>
              <w:bottom w:w="100" w:type="dxa"/>
              <w:end w:w="140" w:type="dxa"/>
            </w:tcMar>
            <w:vAlign w:val="center"/>
            <w:shd w:fill="F3F7FA"/>
          </w:tcPr>
          <w:p>
            <w:pPr>
              <w:spacing w:after="0"/>
            </w:pPr>
            <w:r>
              <w:rPr>
                <w:sz w:val="19"/>
              </w:rPr>
              <w:t>Expanded disciplines, reviewers, learning content and support capacity</w:t>
            </w:r>
          </w:p>
        </w:tc>
        <w:tc>
          <w:tcPr>
            <w:tcW w:type="dxa" w:w="4104"/>
            <w:tcMar>
              <w:top w:w="100" w:type="dxa"/>
              <w:start w:w="140" w:type="dxa"/>
              <w:bottom w:w="100" w:type="dxa"/>
              <w:end w:w="140" w:type="dxa"/>
            </w:tcMar>
            <w:vAlign w:val="center"/>
            <w:shd w:fill="F3F7FA"/>
          </w:tcPr>
          <w:p>
            <w:pPr>
              <w:spacing w:after="0"/>
            </w:pPr>
            <w:r>
              <w:rPr>
                <w:sz w:val="19"/>
              </w:rPr>
              <w:t>Scaled membership and stable service operations</w:t>
            </w:r>
          </w:p>
        </w:tc>
      </w:tr>
      <w:tr>
        <w:tc>
          <w:tcPr>
            <w:tcW w:type="dxa" w:w="1800"/>
            <w:tcMar>
              <w:top w:w="100" w:type="dxa"/>
              <w:start w:w="140" w:type="dxa"/>
              <w:bottom w:w="100" w:type="dxa"/>
              <w:end w:w="140" w:type="dxa"/>
            </w:tcMar>
            <w:vAlign w:val="center"/>
          </w:tcPr>
          <w:p>
            <w:pPr>
              <w:spacing w:after="0"/>
            </w:pPr>
            <w:r>
              <w:rPr>
                <w:sz w:val="19"/>
              </w:rPr>
              <w:t>5. Public impact</w:t>
            </w:r>
          </w:p>
        </w:tc>
        <w:tc>
          <w:tcPr>
            <w:tcW w:type="dxa" w:w="3528"/>
            <w:tcMar>
              <w:top w:w="100" w:type="dxa"/>
              <w:start w:w="140" w:type="dxa"/>
              <w:bottom w:w="100" w:type="dxa"/>
              <w:end w:w="140" w:type="dxa"/>
            </w:tcMar>
            <w:vAlign w:val="center"/>
          </w:tcPr>
          <w:p>
            <w:pPr>
              <w:spacing w:after="0"/>
            </w:pPr>
            <w:r>
              <w:rPr>
                <w:sz w:val="19"/>
              </w:rPr>
              <w:t>Repository visibility, partnerships and responsible dissemination</w:t>
            </w:r>
          </w:p>
        </w:tc>
        <w:tc>
          <w:tcPr>
            <w:tcW w:type="dxa" w:w="4104"/>
            <w:tcMar>
              <w:top w:w="100" w:type="dxa"/>
              <w:start w:w="140" w:type="dxa"/>
              <w:bottom w:w="100" w:type="dxa"/>
              <w:end w:w="140" w:type="dxa"/>
            </w:tcMar>
            <w:vAlign w:val="center"/>
          </w:tcPr>
          <w:p>
            <w:pPr>
              <w:spacing w:after="0"/>
            </w:pPr>
            <w:r>
              <w:rPr>
                <w:sz w:val="19"/>
              </w:rPr>
              <w:t>Discoverable outputs, institutional showcases and impact reporting</w:t>
            </w:r>
          </w:p>
        </w:tc>
      </w:tr>
    </w:tbl>
    <w:p>
      <w:pPr>
        <w:widowControl/>
        <w:spacing w:after="0"/>
      </w:pPr>
    </w:p>
    <w:p>
      <w:pPr>
        <w:pStyle w:val="Heading1"/>
        <w:keepNext/>
        <w:widowControl/>
      </w:pPr>
      <w:r>
        <w:t>15. Monitoring, Evaluation and Learning</w:t>
      </w:r>
    </w:p>
    <w:p>
      <w:pPr>
        <w:widowControl/>
      </w:pPr>
      <w:r>
        <w:rPr>
          <w:i w:val="0"/>
        </w:rPr>
        <w:t>Performance should be assessed through a balanced set of access, quality, learning, workflow and impact indicators.</w:t>
      </w:r>
    </w:p>
    <w:tbl>
      <w:tblPr>
        <w:tblW w:type="auto" w:w="0"/>
        <w:jc w:val="center"/>
        <w:tblLayout w:type="fixed"/>
        <w:tblLook w:firstColumn="1" w:firstRow="1" w:lastColumn="0" w:lastRow="0" w:noHBand="0" w:noVBand="1" w:val="04A0"/>
        <w:tblBorders>
          <w:top w:val="single" w:sz="6" w:color="D6DEE5"/>
          <w:left w:val="single" w:sz="6" w:color="D6DEE5"/>
          <w:bottom w:val="single" w:sz="6" w:color="D6DEE5"/>
          <w:right w:val="single" w:sz="6" w:color="D6DEE5"/>
          <w:insideH w:val="single" w:sz="6" w:color="D6DEE5"/>
          <w:insideV w:val="single" w:sz="6" w:color="D6DEE5"/>
        </w:tblBorders>
      </w:tblPr>
      <w:tblGrid>
        <w:gridCol w:w="4824"/>
        <w:gridCol w:w="4824"/>
      </w:tblGrid>
      <w:tr>
        <w:trPr>
          <w:tblHeader w:val="true"/>
        </w:trPr>
        <w:tc>
          <w:tcPr>
            <w:tcW w:type="dxa" w:w="2520"/>
            <w:shd w:fill="17365D"/>
            <w:tcMar>
              <w:top w:w="100" w:type="dxa"/>
              <w:start w:w="140" w:type="dxa"/>
              <w:bottom w:w="100" w:type="dxa"/>
              <w:end w:w="140" w:type="dxa"/>
            </w:tcMar>
            <w:vAlign w:val="center"/>
          </w:tcPr>
          <w:p>
            <w:pPr>
              <w:spacing w:after="0"/>
            </w:pPr>
            <w:r>
              <w:rPr>
                <w:b/>
                <w:color w:val="FFFFFF"/>
                <w:sz w:val="19"/>
              </w:rPr>
              <w:t>Area</w:t>
            </w:r>
          </w:p>
        </w:tc>
        <w:tc>
          <w:tcPr>
            <w:tcW w:type="dxa" w:w="6912"/>
            <w:shd w:fill="17365D"/>
            <w:tcMar>
              <w:top w:w="100" w:type="dxa"/>
              <w:start w:w="140" w:type="dxa"/>
              <w:bottom w:w="100" w:type="dxa"/>
              <w:end w:w="140" w:type="dxa"/>
            </w:tcMar>
            <w:vAlign w:val="center"/>
          </w:tcPr>
          <w:p>
            <w:pPr>
              <w:spacing w:after="0"/>
            </w:pPr>
            <w:r>
              <w:rPr>
                <w:b/>
                <w:color w:val="FFFFFF"/>
                <w:sz w:val="19"/>
              </w:rPr>
              <w:t>Illustrative indicators</w:t>
            </w:r>
          </w:p>
        </w:tc>
      </w:tr>
      <w:tr>
        <w:tc>
          <w:tcPr>
            <w:tcW w:type="dxa" w:w="2520"/>
            <w:tcMar>
              <w:top w:w="100" w:type="dxa"/>
              <w:start w:w="140" w:type="dxa"/>
              <w:bottom w:w="100" w:type="dxa"/>
              <w:end w:w="140" w:type="dxa"/>
            </w:tcMar>
            <w:vAlign w:val="center"/>
          </w:tcPr>
          <w:p>
            <w:pPr>
              <w:spacing w:after="0"/>
            </w:pPr>
            <w:r>
              <w:rPr>
                <w:sz w:val="19"/>
              </w:rPr>
              <w:t>Access and participation</w:t>
            </w:r>
          </w:p>
        </w:tc>
        <w:tc>
          <w:tcPr>
            <w:tcW w:type="dxa" w:w="6912"/>
            <w:tcMar>
              <w:top w:w="100" w:type="dxa"/>
              <w:start w:w="140" w:type="dxa"/>
              <w:bottom w:w="100" w:type="dxa"/>
              <w:end w:w="140" w:type="dxa"/>
            </w:tcMar>
            <w:vAlign w:val="center"/>
          </w:tcPr>
          <w:p>
            <w:pPr>
              <w:spacing w:after="0"/>
            </w:pPr>
            <w:r>
              <w:rPr>
                <w:sz w:val="19"/>
              </w:rPr>
              <w:t>Verified users, active institutions, disciplinary diversity, completion of onboarding</w:t>
            </w:r>
          </w:p>
        </w:tc>
      </w:tr>
      <w:tr>
        <w:tc>
          <w:tcPr>
            <w:tcW w:type="dxa" w:w="2520"/>
            <w:tcMar>
              <w:top w:w="100" w:type="dxa"/>
              <w:start w:w="140" w:type="dxa"/>
              <w:bottom w:w="100" w:type="dxa"/>
              <w:end w:w="140" w:type="dxa"/>
            </w:tcMar>
            <w:vAlign w:val="center"/>
            <w:shd w:fill="F3F7FA"/>
          </w:tcPr>
          <w:p>
            <w:pPr>
              <w:spacing w:after="0"/>
            </w:pPr>
            <w:r>
              <w:rPr>
                <w:sz w:val="19"/>
              </w:rPr>
              <w:t>Topic development</w:t>
            </w:r>
          </w:p>
        </w:tc>
        <w:tc>
          <w:tcPr>
            <w:tcW w:type="dxa" w:w="6912"/>
            <w:tcMar>
              <w:top w:w="100" w:type="dxa"/>
              <w:start w:w="140" w:type="dxa"/>
              <w:bottom w:w="100" w:type="dxa"/>
              <w:end w:w="140" w:type="dxa"/>
            </w:tcMar>
            <w:vAlign w:val="center"/>
            <w:shd w:fill="F3F7FA"/>
          </w:tcPr>
          <w:p>
            <w:pPr>
              <w:spacing w:after="0"/>
            </w:pPr>
            <w:r>
              <w:rPr>
                <w:sz w:val="19"/>
              </w:rPr>
              <w:t>Topics improved, consultation response time, proportion progressing to approved proposals</w:t>
            </w:r>
          </w:p>
        </w:tc>
      </w:tr>
      <w:tr>
        <w:tc>
          <w:tcPr>
            <w:tcW w:type="dxa" w:w="2520"/>
            <w:tcMar>
              <w:top w:w="100" w:type="dxa"/>
              <w:start w:w="140" w:type="dxa"/>
              <w:bottom w:w="100" w:type="dxa"/>
              <w:end w:w="140" w:type="dxa"/>
            </w:tcMar>
            <w:vAlign w:val="center"/>
          </w:tcPr>
          <w:p>
            <w:pPr>
              <w:spacing w:after="0"/>
            </w:pPr>
            <w:r>
              <w:rPr>
                <w:sz w:val="19"/>
              </w:rPr>
              <w:t>Learning</w:t>
            </w:r>
          </w:p>
        </w:tc>
        <w:tc>
          <w:tcPr>
            <w:tcW w:type="dxa" w:w="6912"/>
            <w:tcMar>
              <w:top w:w="100" w:type="dxa"/>
              <w:start w:w="140" w:type="dxa"/>
              <w:bottom w:w="100" w:type="dxa"/>
              <w:end w:w="140" w:type="dxa"/>
            </w:tcMar>
            <w:vAlign w:val="center"/>
          </w:tcPr>
          <w:p>
            <w:pPr>
              <w:spacing w:after="0"/>
            </w:pPr>
            <w:r>
              <w:rPr>
                <w:sz w:val="19"/>
              </w:rPr>
              <w:t>Lesson completion, quiz improvement, application of learning to research tasks</w:t>
            </w:r>
          </w:p>
        </w:tc>
      </w:tr>
      <w:tr>
        <w:tc>
          <w:tcPr>
            <w:tcW w:type="dxa" w:w="2520"/>
            <w:tcMar>
              <w:top w:w="100" w:type="dxa"/>
              <w:start w:w="140" w:type="dxa"/>
              <w:bottom w:w="100" w:type="dxa"/>
              <w:end w:w="140" w:type="dxa"/>
            </w:tcMar>
            <w:vAlign w:val="center"/>
            <w:shd w:fill="F3F7FA"/>
          </w:tcPr>
          <w:p>
            <w:pPr>
              <w:spacing w:after="0"/>
            </w:pPr>
            <w:r>
              <w:rPr>
                <w:sz w:val="19"/>
              </w:rPr>
              <w:t>Editorial quality</w:t>
            </w:r>
          </w:p>
        </w:tc>
        <w:tc>
          <w:tcPr>
            <w:tcW w:type="dxa" w:w="6912"/>
            <w:tcMar>
              <w:top w:w="100" w:type="dxa"/>
              <w:start w:w="140" w:type="dxa"/>
              <w:bottom w:w="100" w:type="dxa"/>
              <w:end w:w="140" w:type="dxa"/>
            </w:tcMar>
            <w:vAlign w:val="center"/>
            <w:shd w:fill="F3F7FA"/>
          </w:tcPr>
          <w:p>
            <w:pPr>
              <w:spacing w:after="0"/>
            </w:pPr>
            <w:r>
              <w:rPr>
                <w:sz w:val="19"/>
              </w:rPr>
              <w:t>Screening time, reviewer acceptance, report quality, revision completion, decision time</w:t>
            </w:r>
          </w:p>
        </w:tc>
      </w:tr>
      <w:tr>
        <w:tc>
          <w:tcPr>
            <w:tcW w:type="dxa" w:w="2520"/>
            <w:tcMar>
              <w:top w:w="100" w:type="dxa"/>
              <w:start w:w="140" w:type="dxa"/>
              <w:bottom w:w="100" w:type="dxa"/>
              <w:end w:w="140" w:type="dxa"/>
            </w:tcMar>
            <w:vAlign w:val="center"/>
          </w:tcPr>
          <w:p>
            <w:pPr>
              <w:spacing w:after="0"/>
            </w:pPr>
            <w:r>
              <w:rPr>
                <w:sz w:val="19"/>
              </w:rPr>
              <w:t>Integrity and safety</w:t>
            </w:r>
          </w:p>
        </w:tc>
        <w:tc>
          <w:tcPr>
            <w:tcW w:type="dxa" w:w="6912"/>
            <w:tcMar>
              <w:top w:w="100" w:type="dxa"/>
              <w:start w:w="140" w:type="dxa"/>
              <w:bottom w:w="100" w:type="dxa"/>
              <w:end w:w="140" w:type="dxa"/>
            </w:tcMar>
            <w:vAlign w:val="center"/>
          </w:tcPr>
          <w:p>
            <w:pPr>
              <w:spacing w:after="0"/>
            </w:pPr>
            <w:r>
              <w:rPr>
                <w:sz w:val="19"/>
              </w:rPr>
              <w:t>Conflicts declared, complaints resolved, privacy incidents, unauthorised access attempts</w:t>
            </w:r>
          </w:p>
        </w:tc>
      </w:tr>
      <w:tr>
        <w:tc>
          <w:tcPr>
            <w:tcW w:type="dxa" w:w="2520"/>
            <w:tcMar>
              <w:top w:w="100" w:type="dxa"/>
              <w:start w:w="140" w:type="dxa"/>
              <w:bottom w:w="100" w:type="dxa"/>
              <w:end w:w="140" w:type="dxa"/>
            </w:tcMar>
            <w:vAlign w:val="center"/>
            <w:shd w:fill="F3F7FA"/>
          </w:tcPr>
          <w:p>
            <w:pPr>
              <w:spacing w:after="0"/>
            </w:pPr>
            <w:r>
              <w:rPr>
                <w:sz w:val="19"/>
              </w:rPr>
              <w:t>Publication and visibility</w:t>
            </w:r>
          </w:p>
        </w:tc>
        <w:tc>
          <w:tcPr>
            <w:tcW w:type="dxa" w:w="6912"/>
            <w:tcMar>
              <w:top w:w="100" w:type="dxa"/>
              <w:start w:w="140" w:type="dxa"/>
              <w:bottom w:w="100" w:type="dxa"/>
              <w:end w:w="140" w:type="dxa"/>
            </w:tcMar>
            <w:vAlign w:val="center"/>
            <w:shd w:fill="F3F7FA"/>
          </w:tcPr>
          <w:p>
            <w:pPr>
              <w:spacing w:after="0"/>
            </w:pPr>
            <w:r>
              <w:rPr>
                <w:sz w:val="19"/>
              </w:rPr>
              <w:t>Approved outputs, repository use, citations, downloads and responsible shares</w:t>
            </w:r>
          </w:p>
        </w:tc>
      </w:tr>
      <w:tr>
        <w:tc>
          <w:tcPr>
            <w:tcW w:type="dxa" w:w="2520"/>
            <w:tcMar>
              <w:top w:w="100" w:type="dxa"/>
              <w:start w:w="140" w:type="dxa"/>
              <w:bottom w:w="100" w:type="dxa"/>
              <w:end w:w="140" w:type="dxa"/>
            </w:tcMar>
            <w:vAlign w:val="center"/>
          </w:tcPr>
          <w:p>
            <w:pPr>
              <w:spacing w:after="0"/>
            </w:pPr>
            <w:r>
              <w:rPr>
                <w:sz w:val="19"/>
              </w:rPr>
              <w:t>Institutional value</w:t>
            </w:r>
          </w:p>
        </w:tc>
        <w:tc>
          <w:tcPr>
            <w:tcW w:type="dxa" w:w="6912"/>
            <w:tcMar>
              <w:top w:w="100" w:type="dxa"/>
              <w:start w:w="140" w:type="dxa"/>
              <w:bottom w:w="100" w:type="dxa"/>
              <w:end w:w="140" w:type="dxa"/>
            </w:tcMar>
            <w:vAlign w:val="center"/>
          </w:tcPr>
          <w:p>
            <w:pPr>
              <w:spacing w:after="0"/>
            </w:pPr>
            <w:r>
              <w:rPr>
                <w:sz w:val="19"/>
              </w:rPr>
              <w:t>Affiliations verified, reports used, institutional outputs showcased and partner satisfaction</w:t>
            </w:r>
          </w:p>
        </w:tc>
      </w:tr>
      <w:tr>
        <w:tc>
          <w:tcPr>
            <w:tcW w:type="dxa" w:w="2520"/>
            <w:tcMar>
              <w:top w:w="100" w:type="dxa"/>
              <w:start w:w="140" w:type="dxa"/>
              <w:bottom w:w="100" w:type="dxa"/>
              <w:end w:w="140" w:type="dxa"/>
            </w:tcMar>
            <w:vAlign w:val="center"/>
            <w:shd w:fill="F3F7FA"/>
          </w:tcPr>
          <w:p>
            <w:pPr>
              <w:spacing w:after="0"/>
            </w:pPr>
            <w:r>
              <w:rPr>
                <w:sz w:val="19"/>
              </w:rPr>
              <w:t>User experience</w:t>
            </w:r>
          </w:p>
        </w:tc>
        <w:tc>
          <w:tcPr>
            <w:tcW w:type="dxa" w:w="6912"/>
            <w:tcMar>
              <w:top w:w="100" w:type="dxa"/>
              <w:start w:w="140" w:type="dxa"/>
              <w:bottom w:w="100" w:type="dxa"/>
              <w:end w:w="140" w:type="dxa"/>
            </w:tcMar>
            <w:vAlign w:val="center"/>
            <w:shd w:fill="F3F7FA"/>
          </w:tcPr>
          <w:p>
            <w:pPr>
              <w:spacing w:after="0"/>
            </w:pPr>
            <w:r>
              <w:rPr>
                <w:sz w:val="19"/>
              </w:rPr>
              <w:t>Task completion, blocked steps, satisfaction ratings and improvement requests</w:t>
            </w:r>
          </w:p>
        </w:tc>
      </w:tr>
    </w:tbl>
    <w:p>
      <w:pPr>
        <w:widowControl/>
        <w:spacing w:after="0"/>
      </w:pPr>
    </w:p>
    <w:p>
      <w:pPr>
        <w:pStyle w:val="Heading1"/>
        <w:keepNext/>
        <w:widowControl/>
      </w:pPr>
      <w:r>
        <w:t>16. Anticipated Outcomes and Impact</w:t>
      </w:r>
    </w:p>
    <w:p>
      <w:pPr>
        <w:pStyle w:val="Heading2"/>
        <w:keepNext/>
        <w:widowControl/>
      </w:pPr>
      <w:r>
        <w:t>Short-term outcomes</w:t>
      </w:r>
    </w:p>
    <w:p>
      <w:pPr>
        <w:pStyle w:val="ListBullet"/>
        <w:widowControl/>
        <w:spacing w:after="80"/>
        <w:ind w:left="360" w:hanging="230"/>
      </w:pPr>
      <w:r>
        <w:t>Clearer and more feasible student research topics.</w:t>
      </w:r>
    </w:p>
    <w:p>
      <w:pPr>
        <w:pStyle w:val="ListBullet"/>
        <w:widowControl/>
        <w:spacing w:after="80"/>
        <w:ind w:left="360" w:hanging="230"/>
      </w:pPr>
      <w:r>
        <w:t>Improved confidence in research methods and scholarly communication.</w:t>
      </w:r>
    </w:p>
    <w:p>
      <w:pPr>
        <w:pStyle w:val="ListBullet"/>
        <w:widowControl/>
        <w:spacing w:after="80"/>
        <w:ind w:left="360" w:hanging="230"/>
      </w:pPr>
      <w:r>
        <w:t>More timely, traceable lecturer and reviewer feedback.</w:t>
      </w:r>
    </w:p>
    <w:p>
      <w:pPr>
        <w:pStyle w:val="ListBullet"/>
        <w:widowControl/>
        <w:spacing w:after="80"/>
        <w:ind w:left="360" w:hanging="230"/>
      </w:pPr>
      <w:r>
        <w:t>Safer access to legitimate research-support services.</w:t>
      </w:r>
    </w:p>
    <w:p>
      <w:pPr>
        <w:pStyle w:val="Heading2"/>
        <w:keepNext/>
        <w:widowControl/>
      </w:pPr>
      <w:r>
        <w:t>Medium-term outcomes</w:t>
      </w:r>
    </w:p>
    <w:p>
      <w:pPr>
        <w:pStyle w:val="ListBullet"/>
        <w:widowControl/>
        <w:spacing w:after="80"/>
        <w:ind w:left="360" w:hanging="230"/>
      </w:pPr>
      <w:r>
        <w:t>Higher-quality student and emerging-scholar manuscripts.</w:t>
      </w:r>
    </w:p>
    <w:p>
      <w:pPr>
        <w:pStyle w:val="ListBullet"/>
        <w:widowControl/>
        <w:spacing w:after="80"/>
        <w:ind w:left="360" w:hanging="230"/>
      </w:pPr>
      <w:r>
        <w:t>Improved institutional preservation and visibility of approved research.</w:t>
      </w:r>
    </w:p>
    <w:p>
      <w:pPr>
        <w:pStyle w:val="ListBullet"/>
        <w:widowControl/>
        <w:spacing w:after="80"/>
        <w:ind w:left="360" w:hanging="230"/>
      </w:pPr>
      <w:r>
        <w:t>Stronger communities of lecturers, reviewers and research professionals.</w:t>
      </w:r>
    </w:p>
    <w:p>
      <w:pPr>
        <w:pStyle w:val="ListBullet"/>
        <w:widowControl/>
        <w:spacing w:after="80"/>
        <w:ind w:left="360" w:hanging="230"/>
      </w:pPr>
      <w:r>
        <w:t>Better preparation for established journal and postgraduate research processes.</w:t>
      </w:r>
    </w:p>
    <w:p>
      <w:pPr>
        <w:pStyle w:val="Heading2"/>
        <w:keepNext/>
        <w:widowControl/>
      </w:pPr>
      <w:r>
        <w:t>Long-term impact</w:t>
      </w:r>
    </w:p>
    <w:p>
      <w:pPr>
        <w:pStyle w:val="ListBullet"/>
        <w:widowControl/>
        <w:spacing w:after="80"/>
        <w:ind w:left="360" w:hanging="230"/>
      </w:pPr>
      <w:r>
        <w:t>A stronger culture of ethical, rigorous and socially relevant research.</w:t>
      </w:r>
    </w:p>
    <w:p>
      <w:pPr>
        <w:pStyle w:val="ListBullet"/>
        <w:widowControl/>
        <w:spacing w:after="80"/>
        <w:ind w:left="360" w:hanging="230"/>
      </w:pPr>
      <w:r>
        <w:t>Greater visibility and use of African knowledge in policy, practice and scholarship.</w:t>
      </w:r>
    </w:p>
    <w:p>
      <w:pPr>
        <w:pStyle w:val="ListBullet"/>
        <w:widowControl/>
        <w:spacing w:after="80"/>
        <w:ind w:left="360" w:hanging="230"/>
      </w:pPr>
      <w:r>
        <w:t>Improved research capacity across participating institutions and disciplines.</w:t>
      </w:r>
    </w:p>
    <w:p>
      <w:pPr>
        <w:pStyle w:val="ListBullet"/>
        <w:widowControl/>
        <w:spacing w:after="80"/>
        <w:ind w:left="360" w:hanging="230"/>
      </w:pPr>
      <w:r>
        <w:t>A sustainable bridge between learners, institutions, scholarship and society.</w:t>
      </w:r>
    </w:p>
    <w:p>
      <w:pPr>
        <w:pStyle w:val="Heading1"/>
        <w:keepNext/>
        <w:widowControl/>
      </w:pPr>
      <w:r>
        <w:t>17. Key Risks and Mitigation</w:t>
      </w:r>
    </w:p>
    <w:tbl>
      <w:tblPr>
        <w:tblW w:type="auto" w:w="0"/>
        <w:jc w:val="center"/>
        <w:tblLayout w:type="fixed"/>
        <w:tblLook w:firstColumn="1" w:firstRow="1" w:lastColumn="0" w:lastRow="0" w:noHBand="0" w:noVBand="1" w:val="04A0"/>
        <w:tblBorders>
          <w:top w:val="single" w:sz="6" w:color="D6DEE5"/>
          <w:left w:val="single" w:sz="6" w:color="D6DEE5"/>
          <w:bottom w:val="single" w:sz="6" w:color="D6DEE5"/>
          <w:right w:val="single" w:sz="6" w:color="D6DEE5"/>
          <w:insideH w:val="single" w:sz="6" w:color="D6DEE5"/>
          <w:insideV w:val="single" w:sz="6" w:color="D6DEE5"/>
        </w:tblBorders>
      </w:tblPr>
      <w:tblGrid>
        <w:gridCol w:w="4824"/>
        <w:gridCol w:w="4824"/>
      </w:tblGrid>
      <w:tr>
        <w:trPr>
          <w:tblHeader w:val="true"/>
        </w:trPr>
        <w:tc>
          <w:tcPr>
            <w:tcW w:type="dxa" w:w="2880"/>
            <w:shd w:fill="17365D"/>
            <w:tcMar>
              <w:top w:w="100" w:type="dxa"/>
              <w:start w:w="140" w:type="dxa"/>
              <w:bottom w:w="100" w:type="dxa"/>
              <w:end w:w="140" w:type="dxa"/>
            </w:tcMar>
            <w:vAlign w:val="center"/>
          </w:tcPr>
          <w:p>
            <w:pPr>
              <w:spacing w:after="0"/>
            </w:pPr>
            <w:r>
              <w:rPr>
                <w:b/>
                <w:color w:val="FFFFFF"/>
                <w:sz w:val="19"/>
              </w:rPr>
              <w:t>Risk</w:t>
            </w:r>
          </w:p>
        </w:tc>
        <w:tc>
          <w:tcPr>
            <w:tcW w:type="dxa" w:w="6552"/>
            <w:shd w:fill="17365D"/>
            <w:tcMar>
              <w:top w:w="100" w:type="dxa"/>
              <w:start w:w="140" w:type="dxa"/>
              <w:bottom w:w="100" w:type="dxa"/>
              <w:end w:w="140" w:type="dxa"/>
            </w:tcMar>
            <w:vAlign w:val="center"/>
          </w:tcPr>
          <w:p>
            <w:pPr>
              <w:spacing w:after="0"/>
            </w:pPr>
            <w:r>
              <w:rPr>
                <w:b/>
                <w:color w:val="FFFFFF"/>
                <w:sz w:val="19"/>
              </w:rPr>
              <w:t>Mitigation</w:t>
            </w:r>
          </w:p>
        </w:tc>
      </w:tr>
      <w:tr>
        <w:tc>
          <w:tcPr>
            <w:tcW w:type="dxa" w:w="2880"/>
            <w:tcMar>
              <w:top w:w="100" w:type="dxa"/>
              <w:start w:w="140" w:type="dxa"/>
              <w:bottom w:w="100" w:type="dxa"/>
              <w:end w:w="140" w:type="dxa"/>
            </w:tcMar>
            <w:vAlign w:val="center"/>
          </w:tcPr>
          <w:p>
            <w:pPr>
              <w:spacing w:after="0"/>
            </w:pPr>
            <w:r>
              <w:rPr>
                <w:sz w:val="19"/>
              </w:rPr>
              <w:t>Support becomes contract cheating</w:t>
            </w:r>
          </w:p>
        </w:tc>
        <w:tc>
          <w:tcPr>
            <w:tcW w:type="dxa" w:w="6552"/>
            <w:tcMar>
              <w:top w:w="100" w:type="dxa"/>
              <w:start w:w="140" w:type="dxa"/>
              <w:bottom w:w="100" w:type="dxa"/>
              <w:end w:w="140" w:type="dxa"/>
            </w:tcMar>
            <w:vAlign w:val="center"/>
          </w:tcPr>
          <w:p>
            <w:pPr>
              <w:spacing w:after="0"/>
            </w:pPr>
            <w:r>
              <w:rPr>
                <w:sz w:val="19"/>
              </w:rPr>
              <w:t>Clear permitted-service rules, author participation, provider verification, audit trails and sanctions.</w:t>
            </w:r>
          </w:p>
        </w:tc>
      </w:tr>
      <w:tr>
        <w:tc>
          <w:tcPr>
            <w:tcW w:type="dxa" w:w="2880"/>
            <w:tcMar>
              <w:top w:w="100" w:type="dxa"/>
              <w:start w:w="140" w:type="dxa"/>
              <w:bottom w:w="100" w:type="dxa"/>
              <w:end w:w="140" w:type="dxa"/>
            </w:tcMar>
            <w:vAlign w:val="center"/>
            <w:shd w:fill="F3F7FA"/>
          </w:tcPr>
          <w:p>
            <w:pPr>
              <w:spacing w:after="0"/>
            </w:pPr>
            <w:r>
              <w:rPr>
                <w:sz w:val="19"/>
              </w:rPr>
              <w:t>Poor or inconsistent review quality</w:t>
            </w:r>
          </w:p>
        </w:tc>
        <w:tc>
          <w:tcPr>
            <w:tcW w:type="dxa" w:w="6552"/>
            <w:tcMar>
              <w:top w:w="100" w:type="dxa"/>
              <w:start w:w="140" w:type="dxa"/>
              <w:bottom w:w="100" w:type="dxa"/>
              <w:end w:w="140" w:type="dxa"/>
            </w:tcMar>
            <w:vAlign w:val="center"/>
            <w:shd w:fill="F3F7FA"/>
          </w:tcPr>
          <w:p>
            <w:pPr>
              <w:spacing w:after="0"/>
            </w:pPr>
            <w:r>
              <w:rPr>
                <w:sz w:val="19"/>
              </w:rPr>
              <w:t>Eligibility standards, reviewer guidance, structured forms, editor assessment and performance monitoring.</w:t>
            </w:r>
          </w:p>
        </w:tc>
      </w:tr>
      <w:tr>
        <w:tc>
          <w:tcPr>
            <w:tcW w:type="dxa" w:w="2880"/>
            <w:tcMar>
              <w:top w:w="100" w:type="dxa"/>
              <w:start w:w="140" w:type="dxa"/>
              <w:bottom w:w="100" w:type="dxa"/>
              <w:end w:w="140" w:type="dxa"/>
            </w:tcMar>
            <w:vAlign w:val="center"/>
          </w:tcPr>
          <w:p>
            <w:pPr>
              <w:spacing w:after="0"/>
            </w:pPr>
            <w:r>
              <w:rPr>
                <w:sz w:val="19"/>
              </w:rPr>
              <w:t>Privacy or confidentiality breach</w:t>
            </w:r>
          </w:p>
        </w:tc>
        <w:tc>
          <w:tcPr>
            <w:tcW w:type="dxa" w:w="6552"/>
            <w:tcMar>
              <w:top w:w="100" w:type="dxa"/>
              <w:start w:w="140" w:type="dxa"/>
              <w:bottom w:w="100" w:type="dxa"/>
              <w:end w:w="140" w:type="dxa"/>
            </w:tcMar>
            <w:vAlign w:val="center"/>
          </w:tcPr>
          <w:p>
            <w:pPr>
              <w:spacing w:after="0"/>
            </w:pPr>
            <w:r>
              <w:rPr>
                <w:sz w:val="19"/>
              </w:rPr>
              <w:t>Least-privilege access, secure storage, audit logs, incident procedures and regular access review.</w:t>
            </w:r>
          </w:p>
        </w:tc>
      </w:tr>
      <w:tr>
        <w:tc>
          <w:tcPr>
            <w:tcW w:type="dxa" w:w="2880"/>
            <w:tcMar>
              <w:top w:w="100" w:type="dxa"/>
              <w:start w:w="140" w:type="dxa"/>
              <w:bottom w:w="100" w:type="dxa"/>
              <w:end w:w="140" w:type="dxa"/>
            </w:tcMar>
            <w:vAlign w:val="center"/>
            <w:shd w:fill="F3F7FA"/>
          </w:tcPr>
          <w:p>
            <w:pPr>
              <w:spacing w:after="0"/>
            </w:pPr>
            <w:r>
              <w:rPr>
                <w:sz w:val="19"/>
              </w:rPr>
              <w:t>Pay-to-publish perception</w:t>
            </w:r>
          </w:p>
        </w:tc>
        <w:tc>
          <w:tcPr>
            <w:tcW w:type="dxa" w:w="6552"/>
            <w:tcMar>
              <w:top w:w="100" w:type="dxa"/>
              <w:start w:w="140" w:type="dxa"/>
              <w:bottom w:w="100" w:type="dxa"/>
              <w:end w:w="140" w:type="dxa"/>
            </w:tcMar>
            <w:vAlign w:val="center"/>
            <w:shd w:fill="F3F7FA"/>
          </w:tcPr>
          <w:p>
            <w:pPr>
              <w:spacing w:after="0"/>
            </w:pPr>
            <w:r>
              <w:rPr>
                <w:sz w:val="19"/>
              </w:rPr>
              <w:t>Separate finance from editorial judgement; publish fee and waiver policies; never guarantee acceptance.</w:t>
            </w:r>
          </w:p>
        </w:tc>
      </w:tr>
      <w:tr>
        <w:tc>
          <w:tcPr>
            <w:tcW w:type="dxa" w:w="2880"/>
            <w:tcMar>
              <w:top w:w="100" w:type="dxa"/>
              <w:start w:w="140" w:type="dxa"/>
              <w:bottom w:w="100" w:type="dxa"/>
              <w:end w:w="140" w:type="dxa"/>
            </w:tcMar>
            <w:vAlign w:val="center"/>
          </w:tcPr>
          <w:p>
            <w:pPr>
              <w:spacing w:after="0"/>
            </w:pPr>
            <w:r>
              <w:rPr>
                <w:sz w:val="19"/>
              </w:rPr>
              <w:t>Low lecturer/reviewer participation</w:t>
            </w:r>
          </w:p>
        </w:tc>
        <w:tc>
          <w:tcPr>
            <w:tcW w:type="dxa" w:w="6552"/>
            <w:tcMar>
              <w:top w:w="100" w:type="dxa"/>
              <w:start w:w="140" w:type="dxa"/>
              <w:bottom w:w="100" w:type="dxa"/>
              <w:end w:w="140" w:type="dxa"/>
            </w:tcMar>
            <w:vAlign w:val="center"/>
          </w:tcPr>
          <w:p>
            <w:pPr>
              <w:spacing w:after="0"/>
            </w:pPr>
            <w:r>
              <w:rPr>
                <w:sz w:val="19"/>
              </w:rPr>
              <w:t>Recognition, manageable assignments, certificates, transparent incentives and institutional support.</w:t>
            </w:r>
          </w:p>
        </w:tc>
      </w:tr>
      <w:tr>
        <w:tc>
          <w:tcPr>
            <w:tcW w:type="dxa" w:w="2880"/>
            <w:tcMar>
              <w:top w:w="100" w:type="dxa"/>
              <w:start w:w="140" w:type="dxa"/>
              <w:bottom w:w="100" w:type="dxa"/>
              <w:end w:w="140" w:type="dxa"/>
            </w:tcMar>
            <w:vAlign w:val="center"/>
            <w:shd w:fill="F3F7FA"/>
          </w:tcPr>
          <w:p>
            <w:pPr>
              <w:spacing w:after="0"/>
            </w:pPr>
            <w:r>
              <w:rPr>
                <w:sz w:val="19"/>
              </w:rPr>
              <w:t>Automated suggestion errors</w:t>
            </w:r>
          </w:p>
        </w:tc>
        <w:tc>
          <w:tcPr>
            <w:tcW w:type="dxa" w:w="6552"/>
            <w:tcMar>
              <w:top w:w="100" w:type="dxa"/>
              <w:start w:w="140" w:type="dxa"/>
              <w:bottom w:w="100" w:type="dxa"/>
              <w:end w:w="140" w:type="dxa"/>
            </w:tcMar>
            <w:vAlign w:val="center"/>
            <w:shd w:fill="F3F7FA"/>
          </w:tcPr>
          <w:p>
            <w:pPr>
              <w:spacing w:after="0"/>
            </w:pPr>
            <w:r>
              <w:rPr>
                <w:sz w:val="19"/>
              </w:rPr>
              <w:t>Human review, clear limitations, user correction tools and continuous testing of language rules.</w:t>
            </w:r>
          </w:p>
        </w:tc>
      </w:tr>
      <w:tr>
        <w:tc>
          <w:tcPr>
            <w:tcW w:type="dxa" w:w="2880"/>
            <w:tcMar>
              <w:top w:w="100" w:type="dxa"/>
              <w:start w:w="140" w:type="dxa"/>
              <w:bottom w:w="100" w:type="dxa"/>
              <w:end w:w="140" w:type="dxa"/>
            </w:tcMar>
            <w:vAlign w:val="center"/>
          </w:tcPr>
          <w:p>
            <w:pPr>
              <w:spacing w:after="0"/>
            </w:pPr>
            <w:r>
              <w:rPr>
                <w:sz w:val="19"/>
              </w:rPr>
              <w:t>Premature scaling</w:t>
            </w:r>
          </w:p>
        </w:tc>
        <w:tc>
          <w:tcPr>
            <w:tcW w:type="dxa" w:w="6552"/>
            <w:tcMar>
              <w:top w:w="100" w:type="dxa"/>
              <w:start w:w="140" w:type="dxa"/>
              <w:bottom w:w="100" w:type="dxa"/>
              <w:end w:w="140" w:type="dxa"/>
            </w:tcMar>
            <w:vAlign w:val="center"/>
          </w:tcPr>
          <w:p>
            <w:pPr>
              <w:spacing w:after="0"/>
            </w:pPr>
            <w:r>
              <w:rPr>
                <w:sz w:val="19"/>
              </w:rPr>
              <w:t>Controlled pilots, readiness gates, phased institutional onboarding and evidence-led expansion.</w:t>
            </w:r>
          </w:p>
        </w:tc>
      </w:tr>
    </w:tbl>
    <w:p>
      <w:pPr>
        <w:widowControl/>
        <w:spacing w:after="0"/>
      </w:pPr>
    </w:p>
    <w:p>
      <w:pPr>
        <w:pStyle w:val="Heading1"/>
        <w:keepNext/>
        <w:widowControl/>
      </w:pPr>
      <w:r>
        <w:t>18. Immediate Partnership Request</w:t>
      </w:r>
    </w:p>
    <w:p>
      <w:pPr>
        <w:widowControl/>
      </w:pPr>
      <w:r>
        <w:rPr>
          <w:i w:val="0"/>
        </w:rPr>
        <w:t>ResearchBridge Africa invites selected institutions, lecturers and reviewers to participate in a controlled pilot and co-development process. The immediate request is for partners to:</w:t>
      </w:r>
    </w:p>
    <w:p>
      <w:pPr>
        <w:pStyle w:val="ListNumber"/>
        <w:widowControl/>
        <w:spacing w:after="100"/>
        <w:ind w:left="432" w:hanging="288"/>
      </w:pPr>
      <w:r>
        <w:t>Nominate a small and diverse pilot group of students, lecturers and qualified reviewers.</w:t>
      </w:r>
    </w:p>
    <w:p>
      <w:pPr>
        <w:pStyle w:val="ListNumber"/>
        <w:widowControl/>
        <w:spacing w:after="100"/>
        <w:ind w:left="432" w:hanging="288"/>
      </w:pPr>
      <w:r>
        <w:t>Appoint a focal person or institutional administrator where appropriate.</w:t>
      </w:r>
    </w:p>
    <w:p>
      <w:pPr>
        <w:pStyle w:val="ListNumber"/>
        <w:widowControl/>
        <w:spacing w:after="100"/>
        <w:ind w:left="432" w:hanging="288"/>
      </w:pPr>
      <w:r>
        <w:t>Test assigned research, consultation, review and reporting workflows.</w:t>
      </w:r>
    </w:p>
    <w:p>
      <w:pPr>
        <w:pStyle w:val="ListNumber"/>
        <w:widowControl/>
        <w:spacing w:after="100"/>
        <w:ind w:left="432" w:hanging="288"/>
      </w:pPr>
      <w:r>
        <w:t>Provide structured feedback on usability, academic quality, privacy and institutional value.</w:t>
      </w:r>
    </w:p>
    <w:p>
      <w:pPr>
        <w:pStyle w:val="ListNumber"/>
        <w:widowControl/>
        <w:spacing w:after="100"/>
        <w:ind w:left="432" w:hanging="288"/>
      </w:pPr>
      <w:r>
        <w:t>Discuss a wider institutional pilot and an appropriate partnership framework after evaluation.</w:t>
      </w:r>
    </w:p>
    <w:p>
      <w:pPr>
        <w:pStyle w:val="Heading1"/>
        <w:keepNext/>
        <w:widowControl/>
      </w:pPr>
      <w:r>
        <w:t>19. Conclusion</w:t>
      </w:r>
    </w:p>
    <w:p>
      <w:pPr>
        <w:widowControl/>
      </w:pPr>
      <w:r>
        <w:rPr>
          <w:i w:val="0"/>
        </w:rPr>
        <w:t>ResearchBridge Africa responds to a practical and consequential gap in the research ecosystem: the distance between learning about research and producing research that is credible, visible and useful. By connecting topic development, learning, mentorship, ethical support, peer review, publication and institutional oversight, the platform offers more than a repository or submission portal. It offers a developmental pathway.</w:t>
      </w:r>
    </w:p>
    <w:p>
      <w:pPr>
        <w:widowControl/>
      </w:pPr>
      <w:r>
        <w:rPr>
          <w:i w:val="0"/>
        </w:rPr>
        <w:t>Its success will depend on academic trust, careful governance, qualified human participation, secure technology and evidence from controlled implementation. Institutional partners, lecturers and reviewers are therefore not merely users; they are essential co-builders of a platform intended to strengthen African research capacity and impact.</w:t>
      </w:r>
    </w:p>
    <w:tbl>
      <w:tblPr>
        <w:tblW w:type="auto" w:w="0"/>
        <w:jc w:val="center"/>
        <w:tblLayout w:type="fixed"/>
        <w:tblLook w:firstColumn="1" w:firstRow="1" w:lastColumn="0" w:lastRow="0" w:noHBand="0" w:noVBand="1" w:val="04A0"/>
        <w:tblBorders>
          <w:top w:val="single" w:sz="2" w:color="EAF4F4"/>
          <w:left w:val="single" w:sz="2" w:color="EAF4F4"/>
          <w:bottom w:val="single" w:sz="2" w:color="EAF4F4"/>
          <w:right w:val="single" w:sz="2" w:color="EAF4F4"/>
          <w:insideH w:val="single" w:sz="2" w:color="EAF4F4"/>
          <w:insideV w:val="single" w:sz="2" w:color="EAF4F4"/>
        </w:tblBorders>
      </w:tblPr>
      <w:tblGrid>
        <w:gridCol w:w="9432"/>
      </w:tblGrid>
      <w:tr>
        <w:tc>
          <w:tcPr>
            <w:tcW w:type="dxa" w:w="9432"/>
            <w:vAlign w:val="center"/>
            <w:shd w:fill="EAF4F4"/>
            <w:tcMar>
              <w:top w:w="150" w:type="dxa"/>
              <w:start w:w="190" w:type="dxa"/>
              <w:bottom w:w="150" w:type="dxa"/>
              <w:end w:w="190" w:type="dxa"/>
            </w:tcMar>
          </w:tcPr>
          <w:p>
            <w:pPr>
              <w:spacing w:after="0"/>
            </w:pPr>
            <w:r>
              <w:rPr>
                <w:b/>
                <w:color w:val="17365D"/>
              </w:rPr>
              <w:t xml:space="preserve">ResearchBridge Africa: </w:t>
            </w:r>
            <w:r>
              <w:t>From Research Idea to Published Impact.</w:t>
            </w:r>
          </w:p>
        </w:tc>
      </w:tr>
    </w:tbl>
    <w:p>
      <w:pPr>
        <w:widowControl/>
        <w:spacing w:after="0"/>
      </w:pPr>
    </w:p>
    <w:p>
      <w:pPr>
        <w:pStyle w:val="Heading1"/>
        <w:keepNext/>
        <w:widowControl/>
      </w:pPr>
      <w:r>
        <w:t>Appendix A: Proposed Pilot Roles</w:t>
      </w:r>
    </w:p>
    <w:tbl>
      <w:tblPr>
        <w:tblW w:type="auto" w:w="0"/>
        <w:jc w:val="center"/>
        <w:tblLayout w:type="fixed"/>
        <w:tblLook w:firstColumn="1" w:firstRow="1" w:lastColumn="0" w:lastRow="0" w:noHBand="0" w:noVBand="1" w:val="04A0"/>
        <w:tblBorders>
          <w:top w:val="single" w:sz="6" w:color="D6DEE5"/>
          <w:left w:val="single" w:sz="6" w:color="D6DEE5"/>
          <w:bottom w:val="single" w:sz="6" w:color="D6DEE5"/>
          <w:right w:val="single" w:sz="6" w:color="D6DEE5"/>
          <w:insideH w:val="single" w:sz="6" w:color="D6DEE5"/>
          <w:insideV w:val="single" w:sz="6" w:color="D6DEE5"/>
        </w:tblBorders>
      </w:tblPr>
      <w:tblGrid>
        <w:gridCol w:w="4824"/>
        <w:gridCol w:w="4824"/>
      </w:tblGrid>
      <w:tr>
        <w:trPr>
          <w:tblHeader w:val="true"/>
        </w:trPr>
        <w:tc>
          <w:tcPr>
            <w:tcW w:type="dxa" w:w="2592"/>
            <w:shd w:fill="17365D"/>
            <w:tcMar>
              <w:top w:w="100" w:type="dxa"/>
              <w:start w:w="140" w:type="dxa"/>
              <w:bottom w:w="100" w:type="dxa"/>
              <w:end w:w="140" w:type="dxa"/>
            </w:tcMar>
            <w:vAlign w:val="center"/>
          </w:tcPr>
          <w:p>
            <w:pPr>
              <w:spacing w:after="0"/>
            </w:pPr>
            <w:r>
              <w:rPr>
                <w:b/>
                <w:color w:val="FFFFFF"/>
                <w:sz w:val="19"/>
              </w:rPr>
              <w:t>Participant group</w:t>
            </w:r>
          </w:p>
        </w:tc>
        <w:tc>
          <w:tcPr>
            <w:tcW w:type="dxa" w:w="6840"/>
            <w:shd w:fill="17365D"/>
            <w:tcMar>
              <w:top w:w="100" w:type="dxa"/>
              <w:start w:w="140" w:type="dxa"/>
              <w:bottom w:w="100" w:type="dxa"/>
              <w:end w:w="140" w:type="dxa"/>
            </w:tcMar>
            <w:vAlign w:val="center"/>
          </w:tcPr>
          <w:p>
            <w:pPr>
              <w:spacing w:after="0"/>
            </w:pPr>
            <w:r>
              <w:rPr>
                <w:b/>
                <w:color w:val="FFFFFF"/>
                <w:sz w:val="19"/>
              </w:rPr>
              <w:t>Suggested pilot tasks</w:t>
            </w:r>
          </w:p>
        </w:tc>
      </w:tr>
      <w:tr>
        <w:tc>
          <w:tcPr>
            <w:tcW w:type="dxa" w:w="2592"/>
            <w:tcMar>
              <w:top w:w="100" w:type="dxa"/>
              <w:start w:w="140" w:type="dxa"/>
              <w:bottom w:w="100" w:type="dxa"/>
              <w:end w:w="140" w:type="dxa"/>
            </w:tcMar>
            <w:vAlign w:val="center"/>
          </w:tcPr>
          <w:p>
            <w:pPr>
              <w:spacing w:after="0"/>
            </w:pPr>
            <w:r>
              <w:rPr>
                <w:sz w:val="19"/>
              </w:rPr>
              <w:t>Students</w:t>
            </w:r>
          </w:p>
        </w:tc>
        <w:tc>
          <w:tcPr>
            <w:tcW w:type="dxa" w:w="6840"/>
            <w:tcMar>
              <w:top w:w="100" w:type="dxa"/>
              <w:start w:w="140" w:type="dxa"/>
              <w:bottom w:w="100" w:type="dxa"/>
              <w:end w:w="140" w:type="dxa"/>
            </w:tcMar>
            <w:vAlign w:val="center"/>
          </w:tcPr>
          <w:p>
            <w:pPr>
              <w:spacing w:after="0"/>
            </w:pPr>
            <w:r>
              <w:rPr>
                <w:sz w:val="19"/>
              </w:rPr>
              <w:t>Improve a topic; use the structured builder; complete a lesson; request consultation; test submission and revision.</w:t>
            </w:r>
          </w:p>
        </w:tc>
      </w:tr>
      <w:tr>
        <w:tc>
          <w:tcPr>
            <w:tcW w:type="dxa" w:w="2592"/>
            <w:tcMar>
              <w:top w:w="100" w:type="dxa"/>
              <w:start w:w="140" w:type="dxa"/>
              <w:bottom w:w="100" w:type="dxa"/>
              <w:end w:w="140" w:type="dxa"/>
            </w:tcMar>
            <w:vAlign w:val="center"/>
            <w:shd w:fill="F3F7FA"/>
          </w:tcPr>
          <w:p>
            <w:pPr>
              <w:spacing w:after="0"/>
            </w:pPr>
            <w:r>
              <w:rPr>
                <w:sz w:val="19"/>
              </w:rPr>
              <w:t>Lecturers</w:t>
            </w:r>
          </w:p>
        </w:tc>
        <w:tc>
          <w:tcPr>
            <w:tcW w:type="dxa" w:w="6840"/>
            <w:tcMar>
              <w:top w:w="100" w:type="dxa"/>
              <w:start w:w="140" w:type="dxa"/>
              <w:bottom w:w="100" w:type="dxa"/>
              <w:end w:w="140" w:type="dxa"/>
            </w:tcMar>
            <w:vAlign w:val="center"/>
            <w:shd w:fill="F3F7FA"/>
          </w:tcPr>
          <w:p>
            <w:pPr>
              <w:spacing w:after="0"/>
            </w:pPr>
            <w:r>
              <w:rPr>
                <w:sz w:val="19"/>
              </w:rPr>
              <w:t>Review a topic; provide feedback; inspect workload clarity; test learner communication and role boundaries.</w:t>
            </w:r>
          </w:p>
        </w:tc>
      </w:tr>
      <w:tr>
        <w:tc>
          <w:tcPr>
            <w:tcW w:type="dxa" w:w="2592"/>
            <w:tcMar>
              <w:top w:w="100" w:type="dxa"/>
              <w:start w:w="140" w:type="dxa"/>
              <w:bottom w:w="100" w:type="dxa"/>
              <w:end w:w="140" w:type="dxa"/>
            </w:tcMar>
            <w:vAlign w:val="center"/>
          </w:tcPr>
          <w:p>
            <w:pPr>
              <w:spacing w:after="0"/>
            </w:pPr>
            <w:r>
              <w:rPr>
                <w:sz w:val="19"/>
              </w:rPr>
              <w:t>Peer reviewers</w:t>
            </w:r>
          </w:p>
        </w:tc>
        <w:tc>
          <w:tcPr>
            <w:tcW w:type="dxa" w:w="6840"/>
            <w:tcMar>
              <w:top w:w="100" w:type="dxa"/>
              <w:start w:w="140" w:type="dxa"/>
              <w:bottom w:w="100" w:type="dxa"/>
              <w:end w:w="140" w:type="dxa"/>
            </w:tcMar>
            <w:vAlign w:val="center"/>
          </w:tcPr>
          <w:p>
            <w:pPr>
              <w:spacing w:after="0"/>
            </w:pPr>
            <w:r>
              <w:rPr>
                <w:sz w:val="19"/>
              </w:rPr>
              <w:t>Complete expertise and conflict declarations; accept an assignment; submit a structured report; assess confidentiality.</w:t>
            </w:r>
          </w:p>
        </w:tc>
      </w:tr>
      <w:tr>
        <w:tc>
          <w:tcPr>
            <w:tcW w:type="dxa" w:w="2592"/>
            <w:tcMar>
              <w:top w:w="100" w:type="dxa"/>
              <w:start w:w="140" w:type="dxa"/>
              <w:bottom w:w="100" w:type="dxa"/>
              <w:end w:w="140" w:type="dxa"/>
            </w:tcMar>
            <w:vAlign w:val="center"/>
            <w:shd w:fill="F3F7FA"/>
          </w:tcPr>
          <w:p>
            <w:pPr>
              <w:spacing w:after="0"/>
            </w:pPr>
            <w:r>
              <w:rPr>
                <w:sz w:val="19"/>
              </w:rPr>
              <w:t>Institutional administrator</w:t>
            </w:r>
          </w:p>
        </w:tc>
        <w:tc>
          <w:tcPr>
            <w:tcW w:type="dxa" w:w="6840"/>
            <w:tcMar>
              <w:top w:w="100" w:type="dxa"/>
              <w:start w:w="140" w:type="dxa"/>
              <w:bottom w:w="100" w:type="dxa"/>
              <w:end w:w="140" w:type="dxa"/>
            </w:tcMar>
            <w:vAlign w:val="center"/>
            <w:shd w:fill="F3F7FA"/>
          </w:tcPr>
          <w:p>
            <w:pPr>
              <w:spacing w:after="0"/>
            </w:pPr>
            <w:r>
              <w:rPr>
                <w:sz w:val="19"/>
              </w:rPr>
              <w:t>Verify affiliations; inspect aggregate activity; test invitations, publications and downloadable reports.</w:t>
            </w:r>
          </w:p>
        </w:tc>
      </w:tr>
      <w:tr>
        <w:tc>
          <w:tcPr>
            <w:tcW w:type="dxa" w:w="2592"/>
            <w:tcMar>
              <w:top w:w="100" w:type="dxa"/>
              <w:start w:w="140" w:type="dxa"/>
              <w:bottom w:w="100" w:type="dxa"/>
              <w:end w:w="140" w:type="dxa"/>
            </w:tcMar>
            <w:vAlign w:val="center"/>
          </w:tcPr>
          <w:p>
            <w:pPr>
              <w:spacing w:after="0"/>
            </w:pPr>
            <w:r>
              <w:rPr>
                <w:sz w:val="19"/>
              </w:rPr>
              <w:t>Platform administrator/editor</w:t>
            </w:r>
          </w:p>
        </w:tc>
        <w:tc>
          <w:tcPr>
            <w:tcW w:type="dxa" w:w="6840"/>
            <w:tcMar>
              <w:top w:w="100" w:type="dxa"/>
              <w:start w:w="140" w:type="dxa"/>
              <w:bottom w:w="100" w:type="dxa"/>
              <w:end w:w="140" w:type="dxa"/>
            </w:tcMar>
            <w:vAlign w:val="center"/>
          </w:tcPr>
          <w:p>
            <w:pPr>
              <w:spacing w:after="0"/>
            </w:pPr>
            <w:r>
              <w:rPr>
                <w:sz w:val="19"/>
              </w:rPr>
              <w:t>Screen submissions; assign reviewers; request revisions; make decisions; monitor audit and pilot feedback.</w:t>
            </w:r>
          </w:p>
        </w:tc>
      </w:tr>
    </w:tbl>
    <w:p>
      <w:pPr>
        <w:widowControl/>
        <w:spacing w:after="0"/>
      </w:pPr>
    </w:p>
    <w:p>
      <w:pPr>
        <w:pStyle w:val="Heading1"/>
        <w:keepNext/>
        <w:widowControl/>
      </w:pPr>
      <w:r>
        <w:t>Appendix B: Proposed Engagement Documents</w:t>
      </w:r>
    </w:p>
    <w:p>
      <w:pPr>
        <w:pStyle w:val="ListBullet"/>
        <w:widowControl/>
        <w:spacing w:after="80"/>
        <w:ind w:left="360" w:hanging="230"/>
      </w:pPr>
      <w:r>
        <w:t>Institutional Partnership Proposal and covering invitation letter.</w:t>
      </w:r>
    </w:p>
    <w:p>
      <w:pPr>
        <w:pStyle w:val="ListBullet"/>
        <w:widowControl/>
        <w:spacing w:after="80"/>
        <w:ind w:left="360" w:hanging="230"/>
      </w:pPr>
      <w:r>
        <w:t>Lecturer Membership and Participation Pack.</w:t>
      </w:r>
    </w:p>
    <w:p>
      <w:pPr>
        <w:pStyle w:val="ListBullet"/>
        <w:widowControl/>
        <w:spacing w:after="80"/>
        <w:ind w:left="360" w:hanging="230"/>
      </w:pPr>
      <w:r>
        <w:t>Peer Reviewer Invitation, Confidentiality Declaration and Agreement.</w:t>
      </w:r>
    </w:p>
    <w:p>
      <w:pPr>
        <w:pStyle w:val="ListBullet"/>
        <w:widowControl/>
        <w:spacing w:after="80"/>
        <w:ind w:left="360" w:hanging="230"/>
      </w:pPr>
      <w:r>
        <w:t>General Membership and Participation Policy.</w:t>
      </w:r>
    </w:p>
    <w:p>
      <w:pPr>
        <w:pStyle w:val="ListBullet"/>
        <w:widowControl/>
        <w:spacing w:after="80"/>
        <w:ind w:left="360" w:hanging="230"/>
      </w:pPr>
      <w:r>
        <w:t>Institutional Memorandum of Understanding template for approved partnerships.</w:t>
      </w:r>
    </w:p>
    <w:p>
      <w:pPr>
        <w:pStyle w:val="Heading1"/>
        <w:keepNext/>
        <w:widowControl/>
      </w:pPr>
      <w:r>
        <w:t>Reference Framework</w:t>
      </w:r>
    </w:p>
    <w:p>
      <w:pPr>
        <w:widowControl/>
      </w:pPr>
      <w:r>
        <w:rPr>
          <w:i w:val="0"/>
        </w:rPr>
        <w:t>The concept aligns broadly with the African Union's Agenda 2063 aspiration for an education and skills revolution, the United Nations Sustainable Development Goal 4 on inclusive and equitable quality education, and established principles of research integrity, responsible peer review, data protection and institutional accountability.</w:t>
      </w:r>
    </w:p>
    <w:sectPr w:rsidR="00FC693F" w:rsidRPr="0006063C" w:rsidSect="00034616">
      <w:headerReference w:type="default" r:id="rId9"/>
      <w:footerReference w:type="default" r:id="rId10"/>
      <w:pgSz w:w="12240" w:h="15840"/>
      <w:pgMar w:top="1152" w:right="1296" w:bottom="1080" w:left="1296"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60"/>
      <w:jc w:val="center"/>
    </w:pPr>
    <w:r>
      <w:rPr>
        <w:color w:val="5A6772"/>
        <w:sz w:val="17"/>
      </w:rPr>
      <w:t xml:space="preserve">ResearchBridge Africa  |  Concept Paper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right"/>
    </w:pPr>
    <w:r>
      <w:rPr>
        <w:b/>
        <w:color w:val="159A9C"/>
        <w:sz w:val="17"/>
      </w:rPr>
      <w:t>RESEARCHBRIDGE AFRICA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93" w:lineRule="auto"/>
    </w:pPr>
    <w:rPr>
      <w:rFonts w:ascii="Calibri" w:hAnsi="Calibri"/>
      <w:color w:val="20212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Calibri" w:hAnsi="Calibri"/>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Calibri" w:hAnsi="Calibri"/>
      <w:b/>
      <w:bCs/>
      <w:color w:val="2E75B6"/>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59A9C"/>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Kicker">
    <w:name w:val="Cover Kicker"/>
    <w:rPr>
      <w:rFonts w:ascii="Calibri" w:hAnsi="Calibri"/>
      <w:b/>
      <w:color w:val="159A9C"/>
      <w:sz w:val="20"/>
    </w:rPr>
  </w:style>
  <w:style w:type="paragraph" w:customStyle="1" w:styleId="CoverTitle">
    <w:name w:val="Cover Title"/>
    <w:rPr>
      <w:rFonts w:ascii="Calibri" w:hAnsi="Calibri"/>
      <w:b/>
      <w:color w:val="17365D"/>
      <w:sz w:val="56"/>
    </w:rPr>
  </w:style>
  <w:style w:type="paragraph" w:customStyle="1" w:styleId="CoverSubtitle">
    <w:name w:val="Cover Subtitle"/>
    <w:rPr>
      <w:rFonts w:ascii="Calibri" w:hAnsi="Calibri"/>
      <w:b w:val="0"/>
      <w:color w:val="2E75B6"/>
      <w:sz w:val="30"/>
    </w:rPr>
  </w:style>
  <w:style w:type="paragraph" w:customStyle="1" w:styleId="LeadStatement">
    <w:name w:val="Lead Statement"/>
    <w:rPr>
      <w:rFonts w:ascii="Calibri" w:hAnsi="Calibri"/>
      <w:b/>
      <w:color w:val="17365D"/>
      <w:sz w:val="26"/>
    </w:rPr>
  </w:style>
  <w:style w:type="paragraph" w:customStyle="1" w:styleId="SmallMetadata">
    <w:name w:val="Small Metadata"/>
    <w:rPr>
      <w:rFonts w:ascii="Calibri" w:hAnsi="Calibri"/>
      <w:b w:val="0"/>
      <w:color w:val="5A6772"/>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ResearchBridge Africa Concept Paper</dc:title>
  <dc:subject>Institutional engagement, lecturer participation and reviewer membership</dc:subject>
  <dc:creator>Alexander Amoah, PhD</dc:creator>
  <cp:keywords>ResearchBridge Africa, research development, peer review, publication, Africa</cp:keywords>
  <dc:description>generated by python-docx</dc:description>
  <cp:lastModifiedBy/>
  <cp:revision>1</cp:revision>
  <dcterms:created xsi:type="dcterms:W3CDTF">2013-12-23T23:15:00Z</dcterms:created>
  <dcterms:modified xsi:type="dcterms:W3CDTF">2013-12-23T23:15:00Z</dcterms:modified>
  <cp:category/>
</cp:coreProperties>
</file>